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B8D9F">
      <w:pPr>
        <w:jc w:val="both"/>
        <w:rPr>
          <w:rFonts w:hint="eastAsia" w:ascii="宋体" w:hAnsi="宋体" w:cs="宋体"/>
          <w:b/>
          <w:color w:val="auto"/>
          <w:kern w:val="0"/>
          <w:sz w:val="44"/>
          <w:szCs w:val="40"/>
          <w:lang w:eastAsia="zh-CN"/>
        </w:rPr>
      </w:pPr>
    </w:p>
    <w:p w14:paraId="3B765F1B">
      <w:pPr>
        <w:jc w:val="both"/>
        <w:rPr>
          <w:rFonts w:hint="eastAsia" w:ascii="宋体" w:hAnsi="宋体" w:cs="宋体"/>
          <w:b/>
          <w:color w:val="auto"/>
          <w:kern w:val="0"/>
          <w:sz w:val="44"/>
          <w:szCs w:val="40"/>
          <w:lang w:eastAsia="zh-CN"/>
        </w:rPr>
      </w:pPr>
    </w:p>
    <w:p w14:paraId="10DDDF8F">
      <w:pPr>
        <w:pStyle w:val="21"/>
        <w:keepNext w:val="0"/>
        <w:keepLines w:val="0"/>
        <w:pageBreakBefore w:val="0"/>
        <w:widowControl w:val="0"/>
        <w:kinsoku/>
        <w:wordWrap/>
        <w:overflowPunct/>
        <w:topLinePunct w:val="0"/>
        <w:autoSpaceDE/>
        <w:autoSpaceDN/>
        <w:bidi w:val="0"/>
        <w:adjustRightInd/>
        <w:snapToGrid/>
        <w:spacing w:before="0" w:beforeAutospacing="0" w:after="157" w:afterLines="50" w:line="360" w:lineRule="auto"/>
        <w:ind w:left="0" w:leftChars="0" w:firstLine="0" w:firstLineChars="0"/>
        <w:jc w:val="center"/>
        <w:textAlignment w:val="auto"/>
        <w:rPr>
          <w:rFonts w:hint="eastAsia"/>
          <w:color w:val="000000" w:themeColor="text1"/>
          <w:highlight w:val="none"/>
          <w14:textFill>
            <w14:solidFill>
              <w14:schemeClr w14:val="tx1"/>
            </w14:solidFill>
          </w14:textFill>
        </w:rPr>
      </w:pPr>
      <w:r>
        <w:rPr>
          <w:rFonts w:hint="eastAsia" w:asciiTheme="minorEastAsia" w:hAnsiTheme="minorEastAsia" w:eastAsiaTheme="minorEastAsia"/>
          <w:b/>
          <w:bCs/>
          <w:color w:val="000000" w:themeColor="text1"/>
          <w:sz w:val="44"/>
          <w:szCs w:val="44"/>
          <w:highlight w:val="none"/>
          <w:lang w:val="en-US" w:eastAsia="zh-CN"/>
          <w14:textFill>
            <w14:solidFill>
              <w14:schemeClr w14:val="tx1"/>
            </w14:solidFill>
          </w14:textFill>
        </w:rPr>
        <w:t>响水县开发区东风社区道路维修工程</w:t>
      </w:r>
    </w:p>
    <w:p w14:paraId="7B073BEF">
      <w:pPr>
        <w:pStyle w:val="4"/>
        <w:rPr>
          <w:rFonts w:hint="eastAsia"/>
          <w:color w:val="000000" w:themeColor="text1"/>
          <w:highlight w:val="none"/>
          <w14:textFill>
            <w14:solidFill>
              <w14:schemeClr w14:val="tx1"/>
            </w14:solidFill>
          </w14:textFill>
        </w:rPr>
      </w:pPr>
    </w:p>
    <w:p w14:paraId="15454783">
      <w:pPr>
        <w:rPr>
          <w:rFonts w:hint="eastAsia"/>
          <w:color w:val="000000" w:themeColor="text1"/>
          <w:highlight w:val="none"/>
          <w14:textFill>
            <w14:solidFill>
              <w14:schemeClr w14:val="tx1"/>
            </w14:solidFill>
          </w14:textFill>
        </w:rPr>
      </w:pPr>
    </w:p>
    <w:p w14:paraId="33CFF33F">
      <w:pPr>
        <w:rPr>
          <w:rFonts w:hint="eastAsia"/>
          <w:color w:val="000000" w:themeColor="text1"/>
          <w:highlight w:val="none"/>
          <w14:textFill>
            <w14:solidFill>
              <w14:schemeClr w14:val="tx1"/>
            </w14:solidFill>
          </w14:textFill>
        </w:rPr>
      </w:pPr>
    </w:p>
    <w:p w14:paraId="6145045C">
      <w:pPr>
        <w:rPr>
          <w:rFonts w:hint="eastAsia"/>
          <w:color w:val="000000" w:themeColor="text1"/>
          <w:highlight w:val="none"/>
          <w14:textFill>
            <w14:solidFill>
              <w14:schemeClr w14:val="tx1"/>
            </w14:solidFill>
          </w14:textFill>
        </w:rPr>
      </w:pPr>
    </w:p>
    <w:p w14:paraId="7CABA57D">
      <w:pPr>
        <w:rPr>
          <w:rFonts w:hint="eastAsia"/>
          <w:color w:val="000000" w:themeColor="text1"/>
          <w:highlight w:val="none"/>
          <w14:textFill>
            <w14:solidFill>
              <w14:schemeClr w14:val="tx1"/>
            </w14:solidFill>
          </w14:textFill>
        </w:rPr>
      </w:pPr>
    </w:p>
    <w:p w14:paraId="44B18834">
      <w:pPr>
        <w:jc w:val="both"/>
        <w:rPr>
          <w:rFonts w:hint="eastAsia" w:ascii="宋体" w:hAnsi="宋体" w:cs="宋体"/>
          <w:b/>
          <w:color w:val="000000" w:themeColor="text1"/>
          <w:kern w:val="0"/>
          <w:sz w:val="48"/>
          <w:szCs w:val="44"/>
          <w:highlight w:val="none"/>
          <w14:textFill>
            <w14:solidFill>
              <w14:schemeClr w14:val="tx1"/>
            </w14:solidFill>
          </w14:textFill>
        </w:rPr>
      </w:pPr>
    </w:p>
    <w:p w14:paraId="6344BE35">
      <w:pPr>
        <w:jc w:val="center"/>
        <w:rPr>
          <w:rFonts w:ascii="宋体" w:hAnsi="宋体"/>
          <w:bCs/>
          <w:color w:val="000000" w:themeColor="text1"/>
          <w:sz w:val="60"/>
          <w:szCs w:val="60"/>
          <w:highlight w:val="none"/>
          <w14:textFill>
            <w14:solidFill>
              <w14:schemeClr w14:val="tx1"/>
            </w14:solidFill>
          </w14:textFill>
        </w:rPr>
      </w:pPr>
      <w:r>
        <w:rPr>
          <w:rFonts w:hint="eastAsia" w:ascii="宋体" w:hAnsi="宋体" w:cs="宋体"/>
          <w:b/>
          <w:color w:val="000000" w:themeColor="text1"/>
          <w:kern w:val="0"/>
          <w:sz w:val="60"/>
          <w:szCs w:val="60"/>
          <w:highlight w:val="none"/>
          <w14:textFill>
            <w14:solidFill>
              <w14:schemeClr w14:val="tx1"/>
            </w14:solidFill>
          </w14:textFill>
        </w:rPr>
        <w:t>招</w:t>
      </w:r>
      <w:r>
        <w:rPr>
          <w:rFonts w:hint="eastAsia" w:ascii="宋体" w:hAnsi="宋体" w:cs="宋体"/>
          <w:b/>
          <w:color w:val="000000" w:themeColor="text1"/>
          <w:kern w:val="0"/>
          <w:sz w:val="60"/>
          <w:szCs w:val="60"/>
          <w:highlight w:val="none"/>
          <w:lang w:val="en-US" w:eastAsia="zh-CN"/>
          <w14:textFill>
            <w14:solidFill>
              <w14:schemeClr w14:val="tx1"/>
            </w14:solidFill>
          </w14:textFill>
        </w:rPr>
        <w:t xml:space="preserve"> </w:t>
      </w:r>
      <w:r>
        <w:rPr>
          <w:rFonts w:hint="eastAsia" w:ascii="宋体" w:hAnsi="宋体" w:cs="宋体"/>
          <w:b/>
          <w:color w:val="000000" w:themeColor="text1"/>
          <w:kern w:val="0"/>
          <w:sz w:val="60"/>
          <w:szCs w:val="60"/>
          <w:highlight w:val="none"/>
          <w14:textFill>
            <w14:solidFill>
              <w14:schemeClr w14:val="tx1"/>
            </w14:solidFill>
          </w14:textFill>
        </w:rPr>
        <w:t>标</w:t>
      </w:r>
      <w:r>
        <w:rPr>
          <w:rFonts w:hint="eastAsia" w:ascii="宋体" w:hAnsi="宋体" w:cs="宋体"/>
          <w:b/>
          <w:color w:val="000000" w:themeColor="text1"/>
          <w:kern w:val="0"/>
          <w:sz w:val="60"/>
          <w:szCs w:val="60"/>
          <w:highlight w:val="none"/>
          <w:lang w:val="en-US" w:eastAsia="zh-CN"/>
          <w14:textFill>
            <w14:solidFill>
              <w14:schemeClr w14:val="tx1"/>
            </w14:solidFill>
          </w14:textFill>
        </w:rPr>
        <w:t xml:space="preserve"> </w:t>
      </w:r>
      <w:r>
        <w:rPr>
          <w:rFonts w:hint="eastAsia" w:ascii="宋体" w:hAnsi="宋体" w:cs="宋体"/>
          <w:b/>
          <w:color w:val="000000" w:themeColor="text1"/>
          <w:kern w:val="0"/>
          <w:sz w:val="60"/>
          <w:szCs w:val="60"/>
          <w:highlight w:val="none"/>
          <w14:textFill>
            <w14:solidFill>
              <w14:schemeClr w14:val="tx1"/>
            </w14:solidFill>
          </w14:textFill>
        </w:rPr>
        <w:t>文</w:t>
      </w:r>
      <w:r>
        <w:rPr>
          <w:rFonts w:hint="eastAsia" w:ascii="宋体" w:hAnsi="宋体" w:cs="宋体"/>
          <w:b/>
          <w:color w:val="000000" w:themeColor="text1"/>
          <w:kern w:val="0"/>
          <w:sz w:val="60"/>
          <w:szCs w:val="60"/>
          <w:highlight w:val="none"/>
          <w:lang w:val="en-US" w:eastAsia="zh-CN"/>
          <w14:textFill>
            <w14:solidFill>
              <w14:schemeClr w14:val="tx1"/>
            </w14:solidFill>
          </w14:textFill>
        </w:rPr>
        <w:t xml:space="preserve"> </w:t>
      </w:r>
      <w:r>
        <w:rPr>
          <w:rFonts w:hint="eastAsia" w:ascii="宋体" w:hAnsi="宋体" w:cs="宋体"/>
          <w:b/>
          <w:color w:val="000000" w:themeColor="text1"/>
          <w:kern w:val="0"/>
          <w:sz w:val="60"/>
          <w:szCs w:val="60"/>
          <w:highlight w:val="none"/>
          <w14:textFill>
            <w14:solidFill>
              <w14:schemeClr w14:val="tx1"/>
            </w14:solidFill>
          </w14:textFill>
        </w:rPr>
        <w:t>件</w:t>
      </w:r>
    </w:p>
    <w:p w14:paraId="7CA38C0C">
      <w:pPr>
        <w:rPr>
          <w:rFonts w:ascii="宋体" w:hAnsi="宋体"/>
          <w:color w:val="000000" w:themeColor="text1"/>
          <w:sz w:val="28"/>
          <w:szCs w:val="28"/>
          <w:highlight w:val="none"/>
          <w:u w:val="single"/>
          <w14:textFill>
            <w14:solidFill>
              <w14:schemeClr w14:val="tx1"/>
            </w14:solidFill>
          </w14:textFill>
        </w:rPr>
      </w:pPr>
    </w:p>
    <w:p w14:paraId="6F9570AB">
      <w:pPr>
        <w:rPr>
          <w:rFonts w:ascii="宋体" w:hAnsi="宋体"/>
          <w:color w:val="000000" w:themeColor="text1"/>
          <w:sz w:val="28"/>
          <w:szCs w:val="28"/>
          <w:highlight w:val="none"/>
          <w:u w:val="single"/>
          <w14:textFill>
            <w14:solidFill>
              <w14:schemeClr w14:val="tx1"/>
            </w14:solidFill>
          </w14:textFill>
        </w:rPr>
      </w:pPr>
    </w:p>
    <w:p w14:paraId="2E7FCC2E">
      <w:pPr>
        <w:rPr>
          <w:rFonts w:hint="eastAsia" w:ascii="宋体" w:hAnsi="宋体"/>
          <w:color w:val="000000" w:themeColor="text1"/>
          <w:sz w:val="28"/>
          <w:szCs w:val="28"/>
          <w:highlight w:val="none"/>
          <w:u w:val="none"/>
          <w:lang w:val="en-US" w:eastAsia="zh-CN"/>
          <w14:textFill>
            <w14:solidFill>
              <w14:schemeClr w14:val="tx1"/>
            </w14:solidFill>
          </w14:textFill>
        </w:rPr>
      </w:pPr>
    </w:p>
    <w:p w14:paraId="76DC773D">
      <w:pPr>
        <w:ind w:firstLine="1446" w:firstLineChars="400"/>
        <w:jc w:val="both"/>
        <w:rPr>
          <w:rFonts w:hint="default" w:ascii="宋体" w:hAnsi="宋体" w:eastAsia="宋体"/>
          <w:color w:val="000000" w:themeColor="text1"/>
          <w:sz w:val="36"/>
          <w:szCs w:val="36"/>
          <w:highlight w:val="none"/>
          <w:u w:val="none"/>
          <w:lang w:val="en-US" w:eastAsia="zh-CN"/>
          <w14:textFill>
            <w14:solidFill>
              <w14:schemeClr w14:val="tx1"/>
            </w14:solidFill>
          </w14:textFill>
        </w:rPr>
      </w:pPr>
      <w:r>
        <w:rPr>
          <w:rFonts w:hint="eastAsia" w:ascii="宋体" w:hAnsi="宋体"/>
          <w:b/>
          <w:bCs/>
          <w:color w:val="000000" w:themeColor="text1"/>
          <w:sz w:val="36"/>
          <w:szCs w:val="36"/>
          <w:highlight w:val="none"/>
          <w:u w:val="none"/>
          <w:lang w:val="en-US" w:eastAsia="zh-CN"/>
          <w14:textFill>
            <w14:solidFill>
              <w14:schemeClr w14:val="tx1"/>
            </w14:solidFill>
          </w14:textFill>
        </w:rPr>
        <w:t>项目编号：320921400N26030002</w:t>
      </w:r>
    </w:p>
    <w:p w14:paraId="23C9876C">
      <w:pPr>
        <w:rPr>
          <w:rFonts w:ascii="宋体" w:hAnsi="宋体"/>
          <w:color w:val="000000" w:themeColor="text1"/>
          <w:sz w:val="28"/>
          <w:szCs w:val="28"/>
          <w:highlight w:val="none"/>
          <w:u w:val="single"/>
          <w14:textFill>
            <w14:solidFill>
              <w14:schemeClr w14:val="tx1"/>
            </w14:solidFill>
          </w14:textFill>
        </w:rPr>
      </w:pPr>
    </w:p>
    <w:p w14:paraId="500647B5">
      <w:pPr>
        <w:rPr>
          <w:rFonts w:hint="eastAsia" w:ascii="宋体" w:hAnsi="宋体" w:eastAsia="宋体"/>
          <w:color w:val="000000" w:themeColor="text1"/>
          <w:sz w:val="28"/>
          <w:szCs w:val="28"/>
          <w:highlight w:val="none"/>
          <w:u w:val="single"/>
          <w:lang w:val="en-US" w:eastAsia="zh-CN"/>
          <w14:textFill>
            <w14:solidFill>
              <w14:schemeClr w14:val="tx1"/>
            </w14:solidFill>
          </w14:textFill>
        </w:rPr>
      </w:pPr>
    </w:p>
    <w:p w14:paraId="2AC8C57E">
      <w:pPr>
        <w:rPr>
          <w:rFonts w:ascii="宋体" w:hAnsi="宋体"/>
          <w:color w:val="000000" w:themeColor="text1"/>
          <w:sz w:val="28"/>
          <w:szCs w:val="28"/>
          <w:highlight w:val="none"/>
          <w:u w:val="single"/>
          <w14:textFill>
            <w14:solidFill>
              <w14:schemeClr w14:val="tx1"/>
            </w14:solidFill>
          </w14:textFill>
        </w:rPr>
      </w:pPr>
    </w:p>
    <w:p w14:paraId="59068C39">
      <w:pPr>
        <w:rPr>
          <w:rFonts w:ascii="宋体" w:hAnsi="宋体"/>
          <w:color w:val="000000" w:themeColor="text1"/>
          <w:sz w:val="28"/>
          <w:szCs w:val="28"/>
          <w:highlight w:val="none"/>
          <w:u w:val="single"/>
          <w14:textFill>
            <w14:solidFill>
              <w14:schemeClr w14:val="tx1"/>
            </w14:solidFill>
          </w14:textFill>
        </w:rPr>
      </w:pPr>
    </w:p>
    <w:p w14:paraId="69F3E0CE">
      <w:pPr>
        <w:rPr>
          <w:rFonts w:ascii="宋体" w:hAnsi="宋体"/>
          <w:color w:val="000000" w:themeColor="text1"/>
          <w:sz w:val="28"/>
          <w:szCs w:val="28"/>
          <w:highlight w:val="none"/>
          <w:u w:val="single"/>
          <w14:textFill>
            <w14:solidFill>
              <w14:schemeClr w14:val="tx1"/>
            </w14:solidFill>
          </w14:textFill>
        </w:rPr>
      </w:pPr>
    </w:p>
    <w:p w14:paraId="76AEF0A4">
      <w:pPr>
        <w:rPr>
          <w:rFonts w:ascii="宋体" w:hAnsi="宋体"/>
          <w:color w:val="000000" w:themeColor="text1"/>
          <w:sz w:val="28"/>
          <w:szCs w:val="28"/>
          <w:highlight w:val="none"/>
          <w:u w:val="single"/>
          <w14:textFill>
            <w14:solidFill>
              <w14:schemeClr w14:val="tx1"/>
            </w14:solidFill>
          </w14:textFill>
        </w:rPr>
      </w:pPr>
    </w:p>
    <w:p w14:paraId="57A68A01">
      <w:pPr>
        <w:rPr>
          <w:rFonts w:ascii="宋体" w:hAnsi="宋体"/>
          <w:color w:val="000000" w:themeColor="text1"/>
          <w:sz w:val="28"/>
          <w:szCs w:val="28"/>
          <w:highlight w:val="none"/>
          <w:u w:val="single"/>
          <w14:textFill>
            <w14:solidFill>
              <w14:schemeClr w14:val="tx1"/>
            </w14:solidFill>
          </w14:textFill>
        </w:rPr>
      </w:pPr>
    </w:p>
    <w:p w14:paraId="7771C4F6">
      <w:pPr>
        <w:rPr>
          <w:rFonts w:ascii="宋体" w:hAnsi="宋体"/>
          <w:color w:val="000000" w:themeColor="text1"/>
          <w:sz w:val="28"/>
          <w:szCs w:val="28"/>
          <w:highlight w:val="none"/>
          <w:u w:val="single"/>
          <w14:textFill>
            <w14:solidFill>
              <w14:schemeClr w14:val="tx1"/>
            </w14:solidFill>
          </w14:textFill>
        </w:rPr>
      </w:pPr>
    </w:p>
    <w:p w14:paraId="5EDD0DE0">
      <w:pPr>
        <w:spacing w:line="640" w:lineRule="exact"/>
        <w:ind w:firstLine="321" w:firstLineChars="100"/>
        <w:jc w:val="center"/>
        <w:rPr>
          <w:b/>
          <w:bCs/>
          <w:color w:val="000000" w:themeColor="text1"/>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招标人</w:t>
      </w:r>
      <w:r>
        <w:rPr>
          <w:rFonts w:hint="eastAsia" w:ascii="宋体" w:hAnsi="宋体" w:cs="宋体"/>
          <w:color w:val="000000" w:themeColor="text1"/>
          <w:sz w:val="32"/>
          <w:szCs w:val="32"/>
          <w:highlight w:val="none"/>
          <w14:textFill>
            <w14:solidFill>
              <w14:schemeClr w14:val="tx1"/>
            </w14:solidFill>
          </w14:textFill>
        </w:rPr>
        <w:t>：</w:t>
      </w:r>
      <w:r>
        <w:rPr>
          <w:rFonts w:hint="eastAsia" w:ascii="宋体" w:hAnsi="宋体" w:cs="宋体"/>
          <w:b/>
          <w:bCs/>
          <w:color w:val="000000" w:themeColor="text1"/>
          <w:sz w:val="32"/>
          <w:szCs w:val="32"/>
          <w:highlight w:val="none"/>
          <w:u w:val="single"/>
          <w:lang w:val="en-US" w:eastAsia="zh-CN"/>
          <w14:textFill>
            <w14:solidFill>
              <w14:schemeClr w14:val="tx1"/>
            </w14:solidFill>
          </w14:textFill>
        </w:rPr>
        <w:t>江苏响水经济开发区东风社区居民委员会</w:t>
      </w:r>
      <w:r>
        <w:rPr>
          <w:rFonts w:hint="eastAsia" w:ascii="宋体" w:hAnsi="宋体" w:cs="宋体"/>
          <w:b/>
          <w:bCs/>
          <w:color w:val="000000" w:themeColor="text1"/>
          <w:sz w:val="32"/>
          <w:szCs w:val="32"/>
          <w:highlight w:val="none"/>
          <w14:textFill>
            <w14:solidFill>
              <w14:schemeClr w14:val="tx1"/>
            </w14:solidFill>
          </w14:textFill>
        </w:rPr>
        <w:t>（盖章）</w:t>
      </w:r>
    </w:p>
    <w:p w14:paraId="3E51CE01">
      <w:pPr>
        <w:snapToGrid w:val="0"/>
        <w:spacing w:line="640" w:lineRule="exact"/>
        <w:rPr>
          <w:rFonts w:ascii="宋体" w:hAnsi="宋体" w:cs="宋体"/>
          <w:b/>
          <w:bCs/>
          <w:color w:val="000000" w:themeColor="text1"/>
          <w:sz w:val="32"/>
          <w:szCs w:val="32"/>
          <w:highlight w:val="none"/>
          <w14:textFill>
            <w14:solidFill>
              <w14:schemeClr w14:val="tx1"/>
            </w14:solidFill>
          </w14:textFill>
        </w:rPr>
      </w:pPr>
    </w:p>
    <w:p w14:paraId="653017D0">
      <w:pPr>
        <w:ind w:firstLine="321" w:firstLineChars="100"/>
        <w:jc w:val="center"/>
        <w:rPr>
          <w:rFonts w:ascii="宋体" w:hAnsi="宋体"/>
          <w:b/>
          <w:bCs/>
          <w:color w:val="000000" w:themeColor="text1"/>
          <w:sz w:val="28"/>
          <w:szCs w:val="28"/>
          <w:highlight w:val="none"/>
          <w:u w:val="singl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招标代理机构：</w:t>
      </w:r>
      <w:r>
        <w:rPr>
          <w:rFonts w:hint="eastAsia" w:ascii="宋体" w:hAnsi="宋体" w:cs="宋体"/>
          <w:b/>
          <w:bCs/>
          <w:color w:val="000000" w:themeColor="text1"/>
          <w:sz w:val="32"/>
          <w:szCs w:val="32"/>
          <w:highlight w:val="none"/>
          <w:u w:val="single"/>
          <w:lang w:val="en-US" w:eastAsia="zh-CN"/>
          <w14:textFill>
            <w14:solidFill>
              <w14:schemeClr w14:val="tx1"/>
            </w14:solidFill>
          </w14:textFill>
        </w:rPr>
        <w:t xml:space="preserve"> 盐城润威项目管理有限公司 </w:t>
      </w:r>
      <w:r>
        <w:rPr>
          <w:rFonts w:hint="eastAsia" w:ascii="宋体" w:hAnsi="宋体" w:cs="宋体"/>
          <w:b/>
          <w:bCs/>
          <w:color w:val="000000" w:themeColor="text1"/>
          <w:sz w:val="32"/>
          <w:szCs w:val="32"/>
          <w:highlight w:val="none"/>
          <w14:textFill>
            <w14:solidFill>
              <w14:schemeClr w14:val="tx1"/>
            </w14:solidFill>
          </w14:textFill>
        </w:rPr>
        <w:t>（盖章）</w:t>
      </w:r>
    </w:p>
    <w:p w14:paraId="5AE08CA3">
      <w:pPr>
        <w:rPr>
          <w:rFonts w:ascii="宋体" w:hAnsi="宋体"/>
          <w:b/>
          <w:bCs/>
          <w:color w:val="000000" w:themeColor="text1"/>
          <w:sz w:val="28"/>
          <w:szCs w:val="28"/>
          <w:highlight w:val="none"/>
          <w14:textFill>
            <w14:solidFill>
              <w14:schemeClr w14:val="tx1"/>
            </w14:solidFill>
          </w14:textFill>
        </w:rPr>
      </w:pPr>
    </w:p>
    <w:p w14:paraId="620F38DB">
      <w:pPr>
        <w:rPr>
          <w:rFonts w:ascii="宋体" w:hAnsi="宋体"/>
          <w:b/>
          <w:bCs/>
          <w:color w:val="000000" w:themeColor="text1"/>
          <w:sz w:val="28"/>
          <w:szCs w:val="28"/>
          <w:highlight w:val="none"/>
          <w14:textFill>
            <w14:solidFill>
              <w14:schemeClr w14:val="tx1"/>
            </w14:solidFill>
          </w14:textFill>
        </w:rPr>
      </w:pPr>
    </w:p>
    <w:p w14:paraId="05478048">
      <w:pPr>
        <w:jc w:val="center"/>
        <w:rPr>
          <w:rFonts w:hint="eastAsia" w:ascii="宋体" w:hAnsi="宋体" w:eastAsia="宋体"/>
          <w:b/>
          <w:bCs/>
          <w:color w:val="000000" w:themeColor="text1"/>
          <w:sz w:val="32"/>
          <w:szCs w:val="32"/>
          <w:highlight w:val="none"/>
          <w:u w:val="single"/>
          <w:lang w:val="en-US" w:eastAsia="zh-CN"/>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日   期：</w:t>
      </w:r>
      <w:r>
        <w:rPr>
          <w:rFonts w:hint="eastAsia" w:ascii="宋体" w:hAnsi="宋体"/>
          <w:b/>
          <w:bCs/>
          <w:color w:val="000000" w:themeColor="text1"/>
          <w:sz w:val="32"/>
          <w:szCs w:val="32"/>
          <w:highlight w:val="none"/>
          <w:lang w:eastAsia="zh-CN"/>
          <w14:textFill>
            <w14:solidFill>
              <w14:schemeClr w14:val="tx1"/>
            </w14:solidFill>
          </w14:textFill>
        </w:rPr>
        <w:t>202</w:t>
      </w:r>
      <w:r>
        <w:rPr>
          <w:rFonts w:hint="eastAsia" w:ascii="宋体" w:hAnsi="宋体"/>
          <w:b/>
          <w:bCs/>
          <w:color w:val="000000" w:themeColor="text1"/>
          <w:sz w:val="32"/>
          <w:szCs w:val="32"/>
          <w:highlight w:val="none"/>
          <w:lang w:val="en-US" w:eastAsia="zh-CN"/>
          <w14:textFill>
            <w14:solidFill>
              <w14:schemeClr w14:val="tx1"/>
            </w14:solidFill>
          </w14:textFill>
        </w:rPr>
        <w:t>6</w:t>
      </w:r>
      <w:r>
        <w:rPr>
          <w:rFonts w:hint="eastAsia" w:ascii="宋体" w:hAnsi="宋体"/>
          <w:b/>
          <w:bCs/>
          <w:color w:val="000000" w:themeColor="text1"/>
          <w:sz w:val="32"/>
          <w:szCs w:val="32"/>
          <w:highlight w:val="none"/>
          <w:lang w:eastAsia="zh-CN"/>
          <w14:textFill>
            <w14:solidFill>
              <w14:schemeClr w14:val="tx1"/>
            </w14:solidFill>
          </w14:textFill>
        </w:rPr>
        <w:t>年</w:t>
      </w:r>
      <w:r>
        <w:rPr>
          <w:rFonts w:hint="eastAsia" w:ascii="宋体" w:hAnsi="宋体"/>
          <w:b/>
          <w:bCs/>
          <w:color w:val="000000" w:themeColor="text1"/>
          <w:sz w:val="32"/>
          <w:szCs w:val="32"/>
          <w:highlight w:val="none"/>
          <w:lang w:val="en-US" w:eastAsia="zh-CN"/>
          <w14:textFill>
            <w14:solidFill>
              <w14:schemeClr w14:val="tx1"/>
            </w14:solidFill>
          </w14:textFill>
        </w:rPr>
        <w:t>4</w:t>
      </w:r>
      <w:r>
        <w:rPr>
          <w:rFonts w:hint="eastAsia" w:ascii="宋体" w:hAnsi="宋体"/>
          <w:b/>
          <w:bCs/>
          <w:color w:val="000000" w:themeColor="text1"/>
          <w:sz w:val="32"/>
          <w:szCs w:val="32"/>
          <w:highlight w:val="none"/>
          <w:lang w:eastAsia="zh-CN"/>
          <w14:textFill>
            <w14:solidFill>
              <w14:schemeClr w14:val="tx1"/>
            </w14:solidFill>
          </w14:textFill>
        </w:rPr>
        <w:t>月</w:t>
      </w:r>
    </w:p>
    <w:p w14:paraId="2F5815E1">
      <w:pPr>
        <w:rPr>
          <w:rFonts w:hint="eastAsia" w:ascii="宋体" w:hAnsi="宋体" w:cs="宋体"/>
          <w:b/>
          <w:color w:val="000000" w:themeColor="text1"/>
          <w:kern w:val="0"/>
          <w:sz w:val="52"/>
          <w:szCs w:val="52"/>
          <w:highlight w:val="none"/>
          <w14:textFill>
            <w14:solidFill>
              <w14:schemeClr w14:val="tx1"/>
            </w14:solidFill>
          </w14:textFill>
        </w:rPr>
      </w:pPr>
      <w:r>
        <w:rPr>
          <w:rFonts w:hint="eastAsia" w:ascii="宋体" w:hAnsi="宋体" w:cs="宋体"/>
          <w:b/>
          <w:color w:val="000000" w:themeColor="text1"/>
          <w:kern w:val="0"/>
          <w:sz w:val="52"/>
          <w:szCs w:val="52"/>
          <w:highlight w:val="none"/>
          <w14:textFill>
            <w14:solidFill>
              <w14:schemeClr w14:val="tx1"/>
            </w14:solidFill>
          </w14:textFill>
        </w:rPr>
        <w:br w:type="page"/>
      </w:r>
    </w:p>
    <w:p w14:paraId="3CFB46BF">
      <w:pPr>
        <w:jc w:val="center"/>
        <w:rPr>
          <w:rFonts w:hint="eastAsia" w:ascii="宋体" w:hAnsi="宋体" w:cs="宋体"/>
          <w:b/>
          <w:color w:val="000000" w:themeColor="text1"/>
          <w:kern w:val="0"/>
          <w:sz w:val="52"/>
          <w:szCs w:val="52"/>
          <w:highlight w:val="none"/>
          <w14:textFill>
            <w14:solidFill>
              <w14:schemeClr w14:val="tx1"/>
            </w14:solidFill>
          </w14:textFill>
        </w:rPr>
      </w:pPr>
      <w:r>
        <w:rPr>
          <w:rFonts w:hint="eastAsia" w:ascii="宋体" w:hAnsi="宋体" w:cs="宋体"/>
          <w:b/>
          <w:color w:val="000000" w:themeColor="text1"/>
          <w:kern w:val="0"/>
          <w:sz w:val="52"/>
          <w:szCs w:val="52"/>
          <w:highlight w:val="none"/>
          <w14:textFill>
            <w14:solidFill>
              <w14:schemeClr w14:val="tx1"/>
            </w14:solidFill>
          </w14:textFill>
        </w:rPr>
        <w:t>目   录</w:t>
      </w:r>
    </w:p>
    <w:p w14:paraId="12D1234E">
      <w:pPr>
        <w:pStyle w:val="13"/>
        <w:tabs>
          <w:tab w:val="right" w:leader="dot" w:pos="8821"/>
        </w:tabs>
        <w:ind w:firstLine="800" w:firstLineChars="250"/>
        <w:rPr>
          <w:rFonts w:ascii="宋体" w:hAnsi="宋体" w:cs="宋体"/>
          <w:b w:val="0"/>
          <w:color w:val="000000" w:themeColor="text1"/>
          <w:kern w:val="0"/>
          <w:sz w:val="32"/>
          <w:szCs w:val="32"/>
          <w:highlight w:val="none"/>
          <w14:textFill>
            <w14:solidFill>
              <w14:schemeClr w14:val="tx1"/>
            </w14:solidFill>
          </w14:textFill>
        </w:rPr>
      </w:pPr>
    </w:p>
    <w:p w14:paraId="332C2032">
      <w:pPr>
        <w:pStyle w:val="13"/>
        <w:tabs>
          <w:tab w:val="right" w:leader="dot" w:pos="8821"/>
        </w:tabs>
        <w:ind w:firstLine="800" w:firstLineChars="250"/>
        <w:rPr>
          <w:rFonts w:ascii="宋体" w:hAnsi="宋体"/>
          <w:color w:val="000000" w:themeColor="text1"/>
          <w:sz w:val="32"/>
          <w:szCs w:val="32"/>
          <w:highlight w:val="none"/>
          <w14:textFill>
            <w14:solidFill>
              <w14:schemeClr w14:val="tx1"/>
            </w14:solidFill>
          </w14:textFill>
        </w:rPr>
      </w:pPr>
      <w:r>
        <w:rPr>
          <w:rFonts w:ascii="宋体" w:hAnsi="宋体" w:cs="宋体"/>
          <w:b w:val="0"/>
          <w:color w:val="000000" w:themeColor="text1"/>
          <w:kern w:val="0"/>
          <w:sz w:val="32"/>
          <w:szCs w:val="32"/>
          <w:highlight w:val="none"/>
          <w14:textFill>
            <w14:solidFill>
              <w14:schemeClr w14:val="tx1"/>
            </w14:solidFill>
          </w14:textFill>
        </w:rPr>
        <w:fldChar w:fldCharType="begin"/>
      </w:r>
      <w:r>
        <w:rPr>
          <w:rFonts w:ascii="宋体" w:hAnsi="宋体" w:cs="宋体"/>
          <w:b w:val="0"/>
          <w:color w:val="000000" w:themeColor="text1"/>
          <w:kern w:val="0"/>
          <w:sz w:val="32"/>
          <w:szCs w:val="32"/>
          <w:highlight w:val="none"/>
          <w14:textFill>
            <w14:solidFill>
              <w14:schemeClr w14:val="tx1"/>
            </w14:solidFill>
          </w14:textFill>
        </w:rPr>
        <w:instrText xml:space="preserve"> TOC \o "1-3" \h \z \u </w:instrText>
      </w:r>
      <w:r>
        <w:rPr>
          <w:rFonts w:ascii="宋体" w:hAnsi="宋体" w:cs="宋体"/>
          <w:b w:val="0"/>
          <w:color w:val="000000" w:themeColor="text1"/>
          <w:kern w:val="0"/>
          <w:sz w:val="32"/>
          <w:szCs w:val="32"/>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"_Toc28136" </w:instrText>
      </w:r>
      <w:r>
        <w:rPr>
          <w:color w:val="000000" w:themeColor="text1"/>
          <w:highlight w:val="none"/>
          <w14:textFill>
            <w14:solidFill>
              <w14:schemeClr w14:val="tx1"/>
            </w14:solidFill>
          </w14:textFill>
        </w:rPr>
        <w:fldChar w:fldCharType="separate"/>
      </w:r>
      <w:r>
        <w:rPr>
          <w:rFonts w:hint="eastAsia" w:ascii="宋体" w:hAnsi="宋体" w:cs="宋体"/>
          <w:color w:val="000000" w:themeColor="text1"/>
          <w:kern w:val="0"/>
          <w:sz w:val="32"/>
          <w:szCs w:val="32"/>
          <w:highlight w:val="none"/>
          <w14:textFill>
            <w14:solidFill>
              <w14:schemeClr w14:val="tx1"/>
            </w14:solidFill>
          </w14:textFill>
        </w:rPr>
        <w:t xml:space="preserve">第一章  </w:t>
      </w:r>
      <w:r>
        <w:rPr>
          <w:rFonts w:hint="eastAsia" w:ascii="宋体" w:hAnsi="宋体"/>
          <w:color w:val="000000" w:themeColor="text1"/>
          <w:sz w:val="32"/>
          <w:szCs w:val="32"/>
          <w:highlight w:val="none"/>
          <w:lang w:val="en-US" w:eastAsia="zh-CN"/>
          <w14:textFill>
            <w14:solidFill>
              <w14:schemeClr w14:val="tx1"/>
            </w14:solidFill>
          </w14:textFill>
        </w:rPr>
        <w:t>招</w:t>
      </w:r>
      <w:r>
        <w:rPr>
          <w:rFonts w:hint="eastAsia" w:ascii="宋体" w:hAnsi="宋体"/>
          <w:color w:val="000000" w:themeColor="text1"/>
          <w:sz w:val="32"/>
          <w:szCs w:val="32"/>
          <w:highlight w:val="none"/>
          <w14:textFill>
            <w14:solidFill>
              <w14:schemeClr w14:val="tx1"/>
            </w14:solidFill>
          </w14:textFill>
        </w:rPr>
        <w:t>标</w:t>
      </w:r>
      <w:r>
        <w:rPr>
          <w:rFonts w:hint="eastAsia" w:ascii="宋体" w:hAnsi="宋体"/>
          <w:color w:val="000000" w:themeColor="text1"/>
          <w:sz w:val="32"/>
          <w:szCs w:val="32"/>
          <w:highlight w:val="none"/>
          <w14:textFill>
            <w14:solidFill>
              <w14:schemeClr w14:val="tx1"/>
            </w14:solidFill>
          </w14:textFill>
        </w:rPr>
        <w:fldChar w:fldCharType="end"/>
      </w:r>
      <w:r>
        <w:rPr>
          <w:rFonts w:hint="eastAsia" w:ascii="宋体" w:hAnsi="宋体"/>
          <w:color w:val="000000" w:themeColor="text1"/>
          <w:sz w:val="32"/>
          <w:szCs w:val="32"/>
          <w:highlight w:val="none"/>
          <w14:textFill>
            <w14:solidFill>
              <w14:schemeClr w14:val="tx1"/>
            </w14:solidFill>
          </w14:textFill>
        </w:rPr>
        <w:t>公告</w:t>
      </w:r>
    </w:p>
    <w:p w14:paraId="0829B847">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p>
    <w:p w14:paraId="2DF71C8B">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"_Toc24829"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sz w:val="32"/>
          <w:szCs w:val="32"/>
          <w:highlight w:val="none"/>
          <w14:textFill>
            <w14:solidFill>
              <w14:schemeClr w14:val="tx1"/>
            </w14:solidFill>
          </w14:textFill>
        </w:rPr>
        <w:t xml:space="preserve">第二章 </w:t>
      </w:r>
      <w:r>
        <w:rPr>
          <w:rFonts w:hint="eastAsia" w:ascii="宋体" w:hAnsi="宋体"/>
          <w:color w:val="000000" w:themeColor="text1"/>
          <w:sz w:val="32"/>
          <w:szCs w:val="32"/>
          <w:highlight w:val="none"/>
          <w:lang w:val="en-US" w:eastAsia="zh-CN"/>
          <w14:textFill>
            <w14:solidFill>
              <w14:schemeClr w14:val="tx1"/>
            </w14:solidFill>
          </w14:textFill>
        </w:rPr>
        <w:t xml:space="preserve"> </w:t>
      </w:r>
      <w:r>
        <w:rPr>
          <w:rFonts w:hint="eastAsia" w:ascii="宋体" w:hAnsi="宋体"/>
          <w:color w:val="000000" w:themeColor="text1"/>
          <w:sz w:val="32"/>
          <w:szCs w:val="32"/>
          <w:highlight w:val="none"/>
          <w14:textFill>
            <w14:solidFill>
              <w14:schemeClr w14:val="tx1"/>
            </w14:solidFill>
          </w14:textFill>
        </w:rPr>
        <w:t>投标人须知</w:t>
      </w:r>
      <w:r>
        <w:rPr>
          <w:rFonts w:hint="eastAsia" w:ascii="宋体" w:hAnsi="宋体"/>
          <w:color w:val="000000" w:themeColor="text1"/>
          <w:sz w:val="32"/>
          <w:szCs w:val="32"/>
          <w:highlight w:val="none"/>
          <w14:textFill>
            <w14:solidFill>
              <w14:schemeClr w14:val="tx1"/>
            </w14:solidFill>
          </w14:textFill>
        </w:rPr>
        <w:fldChar w:fldCharType="end"/>
      </w:r>
    </w:p>
    <w:p w14:paraId="09DFB4B3">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p>
    <w:p w14:paraId="02D36902">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r>
        <w:rPr>
          <w:rFonts w:hint="eastAsia" w:ascii="宋体" w:hAnsi="宋体" w:cs="宋体"/>
          <w:color w:val="000000" w:themeColor="text1"/>
          <w:kern w:val="0"/>
          <w:sz w:val="32"/>
          <w:szCs w:val="32"/>
          <w:highlight w:val="none"/>
          <w14:textFill>
            <w14:solidFill>
              <w14:schemeClr w14:val="tx1"/>
            </w14:solidFill>
          </w14:textFill>
        </w:rPr>
        <w:t>第三章  评标办法</w:t>
      </w:r>
    </w:p>
    <w:p w14:paraId="583CFCE8">
      <w:pPr>
        <w:pStyle w:val="13"/>
        <w:tabs>
          <w:tab w:val="right" w:leader="dot" w:pos="8821"/>
        </w:tabs>
        <w:ind w:firstLine="502" w:firstLineChars="250"/>
        <w:rPr>
          <w:rFonts w:ascii="宋体" w:hAnsi="宋体"/>
          <w:color w:val="000000" w:themeColor="text1"/>
          <w:highlight w:val="none"/>
          <w14:textFill>
            <w14:solidFill>
              <w14:schemeClr w14:val="tx1"/>
            </w14:solidFill>
          </w14:textFill>
        </w:rPr>
      </w:pPr>
    </w:p>
    <w:p w14:paraId="5B98009C">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"_Toc29430" </w:instrText>
      </w:r>
      <w:r>
        <w:rPr>
          <w:color w:val="000000" w:themeColor="text1"/>
          <w:highlight w:val="none"/>
          <w14:textFill>
            <w14:solidFill>
              <w14:schemeClr w14:val="tx1"/>
            </w14:solidFill>
          </w14:textFill>
        </w:rPr>
        <w:fldChar w:fldCharType="separate"/>
      </w:r>
      <w:r>
        <w:rPr>
          <w:rFonts w:hint="eastAsia" w:ascii="宋体" w:hAnsi="宋体" w:cs="宋体"/>
          <w:color w:val="000000" w:themeColor="text1"/>
          <w:sz w:val="32"/>
          <w:szCs w:val="32"/>
          <w:highlight w:val="none"/>
          <w14:textFill>
            <w14:solidFill>
              <w14:schemeClr w14:val="tx1"/>
            </w14:solidFill>
          </w14:textFill>
        </w:rPr>
        <w:t>第四章  工程施工合同</w:t>
      </w:r>
      <w:r>
        <w:rPr>
          <w:rFonts w:hint="eastAsia" w:ascii="宋体" w:hAnsi="宋体" w:cs="宋体"/>
          <w:color w:val="000000" w:themeColor="text1"/>
          <w:sz w:val="32"/>
          <w:szCs w:val="32"/>
          <w:highlight w:val="none"/>
          <w14:textFill>
            <w14:solidFill>
              <w14:schemeClr w14:val="tx1"/>
            </w14:solidFill>
          </w14:textFill>
        </w:rPr>
        <w:fldChar w:fldCharType="end"/>
      </w:r>
    </w:p>
    <w:p w14:paraId="6EBDA965">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p>
    <w:p w14:paraId="7AF0E944">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"_Toc5616"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sz w:val="32"/>
          <w:szCs w:val="32"/>
          <w:highlight w:val="none"/>
          <w14:textFill>
            <w14:solidFill>
              <w14:schemeClr w14:val="tx1"/>
            </w14:solidFill>
          </w14:textFill>
        </w:rPr>
        <w:t>第五章  工程量清单</w:t>
      </w:r>
      <w:r>
        <w:rPr>
          <w:rFonts w:hint="eastAsia" w:ascii="宋体" w:hAnsi="宋体"/>
          <w:color w:val="000000" w:themeColor="text1"/>
          <w:sz w:val="32"/>
          <w:szCs w:val="32"/>
          <w:highlight w:val="none"/>
          <w14:textFill>
            <w14:solidFill>
              <w14:schemeClr w14:val="tx1"/>
            </w14:solidFill>
          </w14:textFill>
        </w:rPr>
        <w:fldChar w:fldCharType="end"/>
      </w:r>
    </w:p>
    <w:p w14:paraId="484CE8DD">
      <w:pPr>
        <w:pStyle w:val="13"/>
        <w:tabs>
          <w:tab w:val="right" w:leader="dot" w:pos="8821"/>
        </w:tabs>
        <w:rPr>
          <w:rFonts w:ascii="宋体" w:hAnsi="宋体" w:cs="宋体"/>
          <w:color w:val="000000" w:themeColor="text1"/>
          <w:kern w:val="0"/>
          <w:sz w:val="32"/>
          <w:szCs w:val="32"/>
          <w:highlight w:val="none"/>
          <w14:textFill>
            <w14:solidFill>
              <w14:schemeClr w14:val="tx1"/>
            </w14:solidFill>
          </w14:textFill>
        </w:rPr>
      </w:pPr>
    </w:p>
    <w:p w14:paraId="041A4F36">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"_Toc31726"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sz w:val="32"/>
          <w:szCs w:val="32"/>
          <w:highlight w:val="none"/>
          <w14:textFill>
            <w14:solidFill>
              <w14:schemeClr w14:val="tx1"/>
            </w14:solidFill>
          </w14:textFill>
        </w:rPr>
        <w:t>第六章  投标文件格式</w:t>
      </w:r>
      <w:r>
        <w:rPr>
          <w:rFonts w:hint="eastAsia" w:ascii="宋体" w:hAnsi="宋体"/>
          <w:color w:val="000000" w:themeColor="text1"/>
          <w:sz w:val="32"/>
          <w:szCs w:val="32"/>
          <w:highlight w:val="none"/>
          <w14:textFill>
            <w14:solidFill>
              <w14:schemeClr w14:val="tx1"/>
            </w14:solidFill>
          </w14:textFill>
        </w:rPr>
        <w:fldChar w:fldCharType="end"/>
      </w:r>
    </w:p>
    <w:p w14:paraId="49592E62">
      <w:pPr>
        <w:spacing w:line="300" w:lineRule="exact"/>
        <w:jc w:val="center"/>
        <w:rPr>
          <w:rFonts w:ascii="宋体" w:hAnsi="宋体" w:cs="宋体"/>
          <w:b/>
          <w:color w:val="000000" w:themeColor="text1"/>
          <w:kern w:val="0"/>
          <w:sz w:val="28"/>
          <w:szCs w:val="28"/>
          <w:highlight w:val="none"/>
          <w14:textFill>
            <w14:solidFill>
              <w14:schemeClr w14:val="tx1"/>
            </w14:solidFill>
          </w14:textFill>
        </w:rPr>
      </w:pPr>
      <w:r>
        <w:rPr>
          <w:rFonts w:ascii="宋体" w:hAnsi="宋体" w:cs="宋体"/>
          <w:color w:val="000000" w:themeColor="text1"/>
          <w:kern w:val="0"/>
          <w:sz w:val="32"/>
          <w:szCs w:val="32"/>
          <w:highlight w:val="none"/>
          <w14:textFill>
            <w14:solidFill>
              <w14:schemeClr w14:val="tx1"/>
            </w14:solidFill>
          </w14:textFill>
        </w:rPr>
        <w:fldChar w:fldCharType="end"/>
      </w:r>
    </w:p>
    <w:p w14:paraId="6BF9DC5E">
      <w:pPr>
        <w:spacing w:line="300" w:lineRule="exact"/>
        <w:jc w:val="center"/>
        <w:rPr>
          <w:rFonts w:ascii="宋体" w:hAnsi="宋体" w:cs="宋体"/>
          <w:b/>
          <w:color w:val="000000" w:themeColor="text1"/>
          <w:kern w:val="0"/>
          <w:sz w:val="28"/>
          <w:szCs w:val="28"/>
          <w:highlight w:val="none"/>
          <w14:textFill>
            <w14:solidFill>
              <w14:schemeClr w14:val="tx1"/>
            </w14:solidFill>
          </w14:textFill>
        </w:rPr>
      </w:pPr>
    </w:p>
    <w:p w14:paraId="2A8D1D74">
      <w:pPr>
        <w:jc w:val="center"/>
        <w:rPr>
          <w:rFonts w:hint="eastAsia" w:ascii="宋体" w:hAnsi="宋体" w:cs="宋体"/>
          <w:b/>
          <w:color w:val="000000" w:themeColor="text1"/>
          <w:sz w:val="36"/>
          <w:szCs w:val="36"/>
          <w:highlight w:val="none"/>
          <w:lang w:val="en-US" w:eastAsia="zh-CN"/>
          <w14:textFill>
            <w14:solidFill>
              <w14:schemeClr w14:val="tx1"/>
            </w14:solidFill>
          </w14:textFill>
        </w:rPr>
        <w:sectPr>
          <w:footerReference r:id="rId3" w:type="first"/>
          <w:pgSz w:w="11906" w:h="16838"/>
          <w:pgMar w:top="1361" w:right="1497" w:bottom="1361" w:left="1497" w:header="850" w:footer="992" w:gutter="0"/>
          <w:pgNumType w:start="1"/>
          <w:cols w:space="0" w:num="1"/>
          <w:titlePg/>
          <w:rtlGutter w:val="0"/>
          <w:docGrid w:linePitch="312" w:charSpace="0"/>
        </w:sectPr>
      </w:pPr>
    </w:p>
    <w:p w14:paraId="719C72A3">
      <w:pPr>
        <w:jc w:val="center"/>
        <w:rPr>
          <w:rFonts w:ascii="宋体" w:hAnsi="宋体" w:cs="宋体"/>
          <w:b/>
          <w:color w:val="000000" w:themeColor="text1"/>
          <w:sz w:val="36"/>
          <w:szCs w:val="36"/>
          <w:highlight w:val="none"/>
          <w14:textFill>
            <w14:solidFill>
              <w14:schemeClr w14:val="tx1"/>
            </w14:solidFill>
          </w14:textFill>
        </w:rPr>
      </w:pPr>
      <w:r>
        <w:rPr>
          <w:rFonts w:hint="eastAsia" w:ascii="宋体" w:hAnsi="宋体" w:cs="宋体"/>
          <w:b/>
          <w:color w:val="000000" w:themeColor="text1"/>
          <w:sz w:val="36"/>
          <w:szCs w:val="36"/>
          <w:highlight w:val="none"/>
          <w:lang w:val="en-US" w:eastAsia="zh-CN"/>
          <w14:textFill>
            <w14:solidFill>
              <w14:schemeClr w14:val="tx1"/>
            </w14:solidFill>
          </w14:textFill>
        </w:rPr>
        <w:t xml:space="preserve">第一章  </w:t>
      </w:r>
      <w:r>
        <w:rPr>
          <w:rFonts w:hint="eastAsia" w:ascii="宋体" w:hAnsi="宋体" w:cs="宋体"/>
          <w:b/>
          <w:color w:val="000000" w:themeColor="text1"/>
          <w:sz w:val="36"/>
          <w:szCs w:val="36"/>
          <w:highlight w:val="none"/>
          <w14:textFill>
            <w14:solidFill>
              <w14:schemeClr w14:val="tx1"/>
            </w14:solidFill>
          </w14:textFill>
        </w:rPr>
        <w:t>招标公告</w:t>
      </w:r>
    </w:p>
    <w:p w14:paraId="3A92307A">
      <w:pPr>
        <w:keepNext w:val="0"/>
        <w:keepLines w:val="0"/>
        <w:pageBreakBefore w:val="0"/>
        <w:kinsoku/>
        <w:wordWrap/>
        <w:overflowPunct/>
        <w:topLinePunct w:val="0"/>
        <w:autoSpaceDE/>
        <w:autoSpaceDN/>
        <w:bidi w:val="0"/>
        <w:adjustRightInd/>
        <w:snapToGrid/>
        <w:spacing w:line="400" w:lineRule="exact"/>
        <w:ind w:firstLine="482" w:firstLineChars="200"/>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一、招标条件</w:t>
      </w:r>
    </w:p>
    <w:p w14:paraId="67279FBB">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lang w:eastAsia="zh-CN"/>
          <w14:textFill>
            <w14:solidFill>
              <w14:schemeClr w14:val="tx1"/>
            </w14:solidFill>
          </w14:textFill>
        </w:rPr>
        <w:t xml:space="preserve">响水县开发区东风社区道路维修工程 </w:t>
      </w:r>
      <w:r>
        <w:rPr>
          <w:rFonts w:hint="eastAsia" w:ascii="宋体" w:hAnsi="宋体" w:cs="宋体"/>
          <w:color w:val="000000" w:themeColor="text1"/>
          <w:sz w:val="24"/>
          <w:highlight w:val="none"/>
          <w14:textFill>
            <w14:solidFill>
              <w14:schemeClr w14:val="tx1"/>
            </w14:solidFill>
          </w14:textFill>
        </w:rPr>
        <w:t>已由上级主管部门批准实施。招标人为</w:t>
      </w:r>
      <w:r>
        <w:rPr>
          <w:rFonts w:hint="eastAsia" w:ascii="宋体" w:hAnsi="宋体" w:cs="宋体"/>
          <w:color w:val="000000" w:themeColor="text1"/>
          <w:sz w:val="24"/>
          <w:highlight w:val="none"/>
          <w:u w:val="single"/>
          <w:lang w:eastAsia="zh-CN"/>
          <w14:textFill>
            <w14:solidFill>
              <w14:schemeClr w14:val="tx1"/>
            </w14:solidFill>
          </w14:textFill>
        </w:rPr>
        <w:t>江苏响水经济开发区东风社区居民委员会</w:t>
      </w:r>
      <w:r>
        <w:rPr>
          <w:rFonts w:hint="eastAsia" w:ascii="宋体" w:hAnsi="宋体" w:cs="宋体"/>
          <w:color w:val="000000" w:themeColor="text1"/>
          <w:sz w:val="24"/>
          <w:highlight w:val="none"/>
          <w14:textFill>
            <w14:solidFill>
              <w14:schemeClr w14:val="tx1"/>
            </w14:solidFill>
          </w14:textFill>
        </w:rPr>
        <w:t>，工程建设资金</w:t>
      </w:r>
      <w:r>
        <w:rPr>
          <w:rFonts w:hint="eastAsia" w:ascii="宋体" w:hAnsi="宋体" w:cs="宋体"/>
          <w:color w:val="000000" w:themeColor="text1"/>
          <w:sz w:val="24"/>
          <w:highlight w:val="none"/>
          <w:u w:val="single"/>
          <w14:textFill>
            <w14:solidFill>
              <w14:schemeClr w14:val="tx1"/>
            </w14:solidFill>
          </w14:textFill>
        </w:rPr>
        <w:t>已落实</w:t>
      </w:r>
      <w:r>
        <w:rPr>
          <w:rFonts w:hint="eastAsia" w:ascii="宋体" w:hAnsi="宋体" w:cs="宋体"/>
          <w:color w:val="000000" w:themeColor="text1"/>
          <w:sz w:val="24"/>
          <w:highlight w:val="none"/>
          <w14:textFill>
            <w14:solidFill>
              <w14:schemeClr w14:val="tx1"/>
            </w14:solidFill>
          </w14:textFill>
        </w:rPr>
        <w:t>。项目已具备招标条件，现对该项目进行公开招标。本次招标对投标报名人采用资格后审方法确定合格的投标人。</w:t>
      </w:r>
    </w:p>
    <w:p w14:paraId="0434642F">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二、项目概况与招标范围</w:t>
      </w:r>
    </w:p>
    <w:p w14:paraId="4F7E78C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1、建设地点：</w:t>
      </w:r>
      <w:r>
        <w:rPr>
          <w:rFonts w:hint="eastAsia" w:ascii="宋体" w:hAnsi="宋体" w:cs="宋体"/>
          <w:color w:val="000000" w:themeColor="text1"/>
          <w:sz w:val="24"/>
          <w:highlight w:val="none"/>
          <w:lang w:eastAsia="zh-CN"/>
          <w14:textFill>
            <w14:solidFill>
              <w14:schemeClr w14:val="tx1"/>
            </w14:solidFill>
          </w14:textFill>
        </w:rPr>
        <w:t>响水县</w:t>
      </w:r>
      <w:r>
        <w:rPr>
          <w:rFonts w:hint="eastAsia" w:ascii="宋体" w:hAnsi="宋体" w:cs="宋体"/>
          <w:color w:val="000000" w:themeColor="text1"/>
          <w:sz w:val="24"/>
          <w:highlight w:val="none"/>
          <w:lang w:val="en-US" w:eastAsia="zh-CN"/>
          <w14:textFill>
            <w14:solidFill>
              <w14:schemeClr w14:val="tx1"/>
            </w14:solidFill>
          </w14:textFill>
        </w:rPr>
        <w:t>境内</w:t>
      </w:r>
      <w:r>
        <w:rPr>
          <w:rFonts w:hint="eastAsia" w:ascii="宋体" w:hAnsi="宋体" w:cs="宋体"/>
          <w:color w:val="000000" w:themeColor="text1"/>
          <w:sz w:val="24"/>
          <w:highlight w:val="none"/>
          <w14:textFill>
            <w14:solidFill>
              <w14:schemeClr w14:val="tx1"/>
            </w14:solidFill>
          </w14:textFill>
        </w:rPr>
        <w:t>。</w:t>
      </w:r>
    </w:p>
    <w:p w14:paraId="25D05CE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2、工程规模：工程造价约</w:t>
      </w:r>
      <w:r>
        <w:rPr>
          <w:rFonts w:hint="eastAsia" w:ascii="宋体" w:hAnsi="宋体" w:cs="宋体"/>
          <w:color w:val="000000" w:themeColor="text1"/>
          <w:sz w:val="24"/>
          <w:highlight w:val="none"/>
          <w:lang w:val="en-US" w:eastAsia="zh-CN"/>
          <w14:textFill>
            <w14:solidFill>
              <w14:schemeClr w14:val="tx1"/>
            </w14:solidFill>
          </w14:textFill>
        </w:rPr>
        <w:t>29.26</w:t>
      </w:r>
      <w:r>
        <w:rPr>
          <w:rFonts w:hint="eastAsia" w:ascii="宋体" w:hAnsi="宋体" w:cs="宋体"/>
          <w:color w:val="000000" w:themeColor="text1"/>
          <w:sz w:val="24"/>
          <w:highlight w:val="none"/>
          <w14:textFill>
            <w14:solidFill>
              <w14:schemeClr w14:val="tx1"/>
            </w14:solidFill>
          </w14:textFill>
        </w:rPr>
        <w:t>万元。</w:t>
      </w:r>
    </w:p>
    <w:p w14:paraId="1C7787A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3、工期要求：</w:t>
      </w:r>
      <w:r>
        <w:rPr>
          <w:rFonts w:hint="eastAsia" w:ascii="宋体" w:hAnsi="宋体" w:cs="宋体"/>
          <w:color w:val="000000" w:themeColor="text1"/>
          <w:sz w:val="24"/>
          <w:highlight w:val="none"/>
          <w:u w:val="single"/>
          <w:lang w:val="en-US" w:eastAsia="zh-CN"/>
          <w14:textFill>
            <w14:solidFill>
              <w14:schemeClr w14:val="tx1"/>
            </w14:solidFill>
          </w14:textFill>
        </w:rPr>
        <w:t>7日历天</w:t>
      </w:r>
      <w:r>
        <w:rPr>
          <w:rFonts w:hint="eastAsia" w:ascii="宋体" w:hAnsi="宋体" w:cs="宋体"/>
          <w:color w:val="000000" w:themeColor="text1"/>
          <w:sz w:val="24"/>
          <w:highlight w:val="none"/>
          <w14:textFill>
            <w14:solidFill>
              <w14:schemeClr w14:val="tx1"/>
            </w14:solidFill>
          </w14:textFill>
        </w:rPr>
        <w:t>, 具体开工日期以招标人的书面通知为准。</w:t>
      </w:r>
    </w:p>
    <w:p w14:paraId="76E3CB0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4、质量标准：国家“合格”标准。</w:t>
      </w:r>
    </w:p>
    <w:p w14:paraId="50A7C26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5、承包方式：包工包料。</w:t>
      </w:r>
    </w:p>
    <w:p w14:paraId="7584898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6、招标范围：具体详见招标人提供的招标工程量清单。招标人保留对工作量进行变更或增减的权利。</w:t>
      </w:r>
    </w:p>
    <w:p w14:paraId="2E907CA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7、标段划分：本次招标为一个标段。</w:t>
      </w:r>
    </w:p>
    <w:p w14:paraId="5601892E">
      <w:pPr>
        <w:keepNext w:val="0"/>
        <w:keepLines w:val="0"/>
        <w:pageBreakBefore w:val="0"/>
        <w:widowControl w:val="0"/>
        <w:kinsoku/>
        <w:wordWrap/>
        <w:overflowPunct/>
        <w:topLinePunct w:val="0"/>
        <w:autoSpaceDE/>
        <w:autoSpaceDN/>
        <w:bidi w:val="0"/>
        <w:adjustRightInd/>
        <w:snapToGrid/>
        <w:spacing w:line="400" w:lineRule="exact"/>
        <w:ind w:left="479" w:leftChars="228" w:firstLine="0" w:firstLineChars="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三、投标人资格要求</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1、资质等级及范围：投标人须具有</w:t>
      </w:r>
      <w:r>
        <w:rPr>
          <w:rFonts w:hint="eastAsia" w:ascii="宋体" w:hAnsi="宋体" w:eastAsia="宋体" w:cs="宋体"/>
          <w:color w:val="000000" w:themeColor="text1"/>
          <w:sz w:val="24"/>
          <w:szCs w:val="24"/>
          <w:highlight w:val="none"/>
          <w:lang w:val="en-US" w:eastAsia="zh-CN"/>
          <w14:textFill>
            <w14:solidFill>
              <w14:schemeClr w14:val="tx1"/>
            </w14:solidFill>
          </w14:textFill>
        </w:rPr>
        <w:t>行政主管部门核发的</w:t>
      </w:r>
      <w:r>
        <w:rPr>
          <w:rFonts w:hint="eastAsia" w:ascii="宋体" w:hAnsi="宋体" w:cs="宋体"/>
          <w:color w:val="000000" w:themeColor="text1"/>
          <w:sz w:val="24"/>
          <w:szCs w:val="24"/>
          <w:highlight w:val="none"/>
          <w:lang w:val="en-US" w:eastAsia="zh-CN"/>
          <w14:textFill>
            <w14:solidFill>
              <w14:schemeClr w14:val="tx1"/>
            </w14:solidFill>
          </w14:textFill>
        </w:rPr>
        <w:t>市政</w:t>
      </w:r>
      <w:r>
        <w:rPr>
          <w:rFonts w:hint="eastAsia" w:ascii="宋体" w:hAnsi="宋体" w:eastAsia="宋体" w:cs="宋体"/>
          <w:color w:val="000000" w:themeColor="text1"/>
          <w:sz w:val="24"/>
          <w:szCs w:val="24"/>
          <w:highlight w:val="none"/>
          <w:lang w:val="en-US" w:eastAsia="zh-CN"/>
          <w14:textFill>
            <w14:solidFill>
              <w14:schemeClr w14:val="tx1"/>
            </w14:solidFill>
          </w14:textFill>
        </w:rPr>
        <w:t>工程施工总承包三级及以上资质</w:t>
      </w:r>
      <w:r>
        <w:rPr>
          <w:rFonts w:hint="eastAsia" w:ascii="宋体" w:hAnsi="宋体" w:cs="宋体"/>
          <w:color w:val="000000" w:themeColor="text1"/>
          <w:sz w:val="24"/>
          <w:szCs w:val="24"/>
          <w:highlight w:val="none"/>
          <w:lang w:val="en-US" w:eastAsia="zh-CN"/>
          <w14:textFill>
            <w14:solidFill>
              <w14:schemeClr w14:val="tx1"/>
            </w14:solidFill>
          </w14:textFill>
        </w:rPr>
        <w:t>并取得有效的安全生产许可证的独立法人，需在人员、设备、资金等方面具有相应的施工能力。且投标当日至本工程中标候选人公示期满上述资质动态核查均处于合格状态。</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2、项目负责人资格类别和等级：具有有效的</w:t>
      </w:r>
      <w:r>
        <w:rPr>
          <w:rFonts w:hint="eastAsia" w:ascii="宋体" w:hAnsi="宋体" w:cs="宋体"/>
          <w:color w:val="000000" w:themeColor="text1"/>
          <w:sz w:val="24"/>
          <w:szCs w:val="24"/>
          <w:highlight w:val="none"/>
          <w:lang w:val="en-US" w:eastAsia="zh-CN"/>
          <w14:textFill>
            <w14:solidFill>
              <w14:schemeClr w14:val="tx1"/>
            </w14:solidFill>
          </w14:textFill>
        </w:rPr>
        <w:t>市政</w:t>
      </w:r>
      <w:r>
        <w:rPr>
          <w:rFonts w:ascii="宋体" w:hAnsi="宋体" w:eastAsia="宋体" w:cs="宋体"/>
          <w:color w:val="000000" w:themeColor="text1"/>
          <w:sz w:val="24"/>
          <w:szCs w:val="24"/>
          <w:highlight w:val="none"/>
          <w14:textFill>
            <w14:solidFill>
              <w14:schemeClr w14:val="tx1"/>
            </w14:solidFill>
          </w14:textFill>
        </w:rPr>
        <w:t>工程二级及以上注册建造师资格，同时具有安全生产考核合格证（B类）。</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3、投标人必须保证授权委托人（如果有）、项目负责人为本单位的正式职工，投标时</w:t>
      </w:r>
      <w:r>
        <w:rPr>
          <w:rFonts w:hint="eastAsia" w:ascii="宋体" w:hAnsi="宋体" w:eastAsia="宋体" w:cs="宋体"/>
          <w:color w:val="000000" w:themeColor="text1"/>
          <w:sz w:val="24"/>
          <w:szCs w:val="24"/>
          <w:highlight w:val="none"/>
          <w14:textFill>
            <w14:solidFill>
              <w14:schemeClr w14:val="tx1"/>
            </w14:solidFill>
          </w14:textFill>
        </w:rPr>
        <w:t>提供</w:t>
      </w:r>
      <w:r>
        <w:rPr>
          <w:rFonts w:hint="eastAsia" w:ascii="宋体" w:hAnsi="宋体" w:eastAsia="宋体" w:cs="宋体"/>
          <w:color w:val="000000" w:themeColor="text1"/>
          <w:sz w:val="24"/>
          <w:szCs w:val="24"/>
          <w:highlight w:val="none"/>
          <w:lang w:val="en-US" w:eastAsia="zh-CN"/>
          <w14:textFill>
            <w14:solidFill>
              <w14:schemeClr w14:val="tx1"/>
            </w14:solidFill>
          </w14:textFill>
        </w:rPr>
        <w:t>从</w:t>
      </w:r>
      <w:r>
        <w:rPr>
          <w:rFonts w:hint="eastAsia" w:ascii="宋体" w:hAnsi="宋体" w:eastAsia="宋体" w:cs="宋体"/>
          <w:color w:val="000000" w:themeColor="text1"/>
          <w:sz w:val="24"/>
          <w:szCs w:val="24"/>
          <w:highlight w:val="none"/>
          <w14:textFill>
            <w14:solidFill>
              <w14:schemeClr w14:val="tx1"/>
            </w14:solidFill>
          </w14:textFill>
        </w:rPr>
        <w:t>投标截止当月前三个月任意一个月的社保缴纳证明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（项目负责人可以作为授权委托人）</w:t>
      </w:r>
    </w:p>
    <w:p w14:paraId="4F1A456A">
      <w:pPr>
        <w:keepNext w:val="0"/>
        <w:keepLines w:val="0"/>
        <w:pageBreakBefore w:val="0"/>
        <w:widowControl w:val="0"/>
        <w:kinsoku/>
        <w:wordWrap/>
        <w:overflowPunct/>
        <w:topLinePunct w:val="0"/>
        <w:autoSpaceDE/>
        <w:autoSpaceDN/>
        <w:bidi w:val="0"/>
        <w:adjustRightInd/>
        <w:snapToGrid/>
        <w:spacing w:line="400" w:lineRule="exact"/>
        <w:ind w:left="479" w:leftChars="228" w:firstLine="0" w:firstLineChars="0"/>
        <w:textAlignment w:val="auto"/>
        <w:rPr>
          <w:rFonts w:hint="eastAsia" w:ascii="宋体" w:hAnsi="宋体"/>
          <w:color w:val="000000" w:themeColor="text1"/>
          <w:sz w:val="24"/>
          <w:highlight w:val="none"/>
          <w:lang w:eastAsia="zh-CN"/>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4、本次招标不接受联合体投标。</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5、信誉要求：投标人没有被国家、江苏省省级有关部门及盐城市市级有关部门和响水县县级有关部门暂停招投标或市场准入资格且在暂停期内。</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投标人存在失信被执行人信息的，按《关于在公共资源交易领域的招标投标活动中建立对失信被执行人联合惩戒机制的实施意见》（苏信用办（2018）23号）文件精神执行。</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投标人有违反上述条件之一的，资格审查不予通过。</w:t>
      </w:r>
    </w:p>
    <w:p w14:paraId="3F6A69DE">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四、资格审查方式</w:t>
      </w:r>
    </w:p>
    <w:p w14:paraId="3B886C9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本项目采用资格后审、全数入围的方法确定合格的投标人。资格审查的具体要求见招标文件。资格后审不合格的投标人投标文件将按无效标书处理。</w:t>
      </w:r>
    </w:p>
    <w:p w14:paraId="63CCFB00">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五、评标办法</w:t>
      </w:r>
    </w:p>
    <w:p w14:paraId="725DCFE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本工程评标办法采用“</w:t>
      </w:r>
      <w:r>
        <w:rPr>
          <w:rFonts w:hint="eastAsia" w:ascii="宋体" w:hAnsi="宋体" w:cs="宋体"/>
          <w:color w:val="000000" w:themeColor="text1"/>
          <w:sz w:val="24"/>
          <w:highlight w:val="none"/>
          <w:lang w:eastAsia="zh-CN"/>
          <w14:textFill>
            <w14:solidFill>
              <w14:schemeClr w14:val="tx1"/>
            </w14:solidFill>
          </w14:textFill>
        </w:rPr>
        <w:t>合理低价法</w:t>
      </w:r>
      <w:r>
        <w:rPr>
          <w:rFonts w:hint="eastAsia" w:ascii="宋体" w:hAnsi="宋体" w:cs="宋体"/>
          <w:color w:val="000000" w:themeColor="text1"/>
          <w:sz w:val="24"/>
          <w:highlight w:val="none"/>
          <w14:textFill>
            <w14:solidFill>
              <w14:schemeClr w14:val="tx1"/>
            </w14:solidFill>
          </w14:textFill>
        </w:rPr>
        <w:t>”。</w:t>
      </w:r>
    </w:p>
    <w:p w14:paraId="13BD4805">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六、本工程严禁挂靠、转包，一经核实挂靠、转包的，将被取消投标、中标资格，并按相关规定进行处罚，直至建议有关部门吊销资质证书。</w:t>
      </w:r>
    </w:p>
    <w:p w14:paraId="01268F20">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七、报名方式</w:t>
      </w:r>
    </w:p>
    <w:p w14:paraId="1A2C91EB">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shd w:val="clear"/>
          <w:lang w:val="en-US" w:eastAsia="zh-CN"/>
          <w14:textFill>
            <w14:solidFill>
              <w14:schemeClr w14:val="tx1"/>
            </w14:solidFill>
          </w14:textFill>
        </w:rPr>
        <w:t>1、凡有意参加投标者，请于2026年05月11日起至2026年05月</w:t>
      </w:r>
      <w:bookmarkStart w:id="565" w:name="_GoBack"/>
      <w:bookmarkEnd w:id="565"/>
      <w:r>
        <w:rPr>
          <w:rFonts w:hint="eastAsia" w:ascii="宋体" w:hAnsi="宋体"/>
          <w:color w:val="000000" w:themeColor="text1"/>
          <w:sz w:val="24"/>
          <w:highlight w:val="none"/>
          <w:shd w:val="clear"/>
          <w:lang w:val="en-US" w:eastAsia="zh-CN"/>
          <w14:textFill>
            <w14:solidFill>
              <w14:schemeClr w14:val="tx1"/>
            </w14:solidFill>
          </w14:textFill>
        </w:rPr>
        <w:t>21日下午17点30分</w:t>
      </w:r>
      <w:r>
        <w:rPr>
          <w:rFonts w:hint="eastAsia" w:ascii="宋体" w:hAnsi="宋体"/>
          <w:color w:val="000000" w:themeColor="text1"/>
          <w:sz w:val="24"/>
          <w:highlight w:val="none"/>
          <w:lang w:val="en-US" w:eastAsia="zh-CN"/>
          <w14:textFill>
            <w14:solidFill>
              <w14:schemeClr w14:val="tx1"/>
            </w14:solidFill>
          </w14:textFill>
        </w:rPr>
        <w:t>在江苏省农村产权交易信息服务平台线上报名（网址：http://app3.jsnc.gov.cn:8080/nccqjy/member/login.do）投标报名材料需上传至附件里。（投标人实名备案网址http://app3.jsnc.gov.cn:8080/nccqjy/member/login.do）</w:t>
      </w:r>
    </w:p>
    <w:p w14:paraId="017CD0B7">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未备案的投标人先至当地农村产权交易中心进行公司备案。</w:t>
      </w:r>
    </w:p>
    <w:p w14:paraId="4A33DAAD">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2、线上报名成功的投标人请发送报名资料至微信15251118196（添加时备注公司名称）登记转发招标文件，或直接在江苏省农村产权交易信息服务平台“信息公开”栏查找本项目进入“附件信息”栏下载。</w:t>
      </w:r>
    </w:p>
    <w:p w14:paraId="1EBEA588">
      <w:pPr>
        <w:keepNext w:val="0"/>
        <w:keepLines w:val="0"/>
        <w:pageBreakBefore w:val="0"/>
        <w:widowControl w:val="0"/>
        <w:kinsoku/>
        <w:wordWrap/>
        <w:overflowPunct/>
        <w:topLinePunct w:val="0"/>
        <w:autoSpaceDE/>
        <w:autoSpaceDN/>
        <w:bidi w:val="0"/>
        <w:adjustRightInd/>
        <w:snapToGrid/>
        <w:spacing w:line="400" w:lineRule="exact"/>
        <w:ind w:left="479" w:leftChars="228" w:firstLine="0" w:firstLineChars="0"/>
        <w:textAlignment w:val="auto"/>
        <w:rPr>
          <w:rFonts w:hint="eastAsia" w:ascii="宋体" w:hAnsi="宋体"/>
          <w:color w:val="000000" w:themeColor="text1"/>
          <w:sz w:val="24"/>
          <w:highlight w:val="none"/>
          <w:lang w:val="en-US" w:eastAsia="zh-CN"/>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报名时需提供以下资料：</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（1）单位介绍信或授权委托书（单位介绍信或授权委托书应注明联系人电话，电话号码错误或无法联系的责任由投标人自负）；</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（2）经办人有效二代身份证；</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（3）企业营业执照；</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（4）企业资质证书副本；</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（5）安全生产许可证副本；</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（6）项目负责人建造师证书；</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（7）项目负责人安全生产考核合格证；</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（8）投标人必须保证授权委托人（如果有）、项目负责人为本单位的正式职工，投标时</w:t>
      </w:r>
      <w:r>
        <w:rPr>
          <w:rFonts w:hint="eastAsia" w:ascii="宋体" w:hAnsi="宋体" w:eastAsia="宋体" w:cs="宋体"/>
          <w:color w:val="000000" w:themeColor="text1"/>
          <w:sz w:val="24"/>
          <w:szCs w:val="24"/>
          <w:highlight w:val="none"/>
          <w14:textFill>
            <w14:solidFill>
              <w14:schemeClr w14:val="tx1"/>
            </w14:solidFill>
          </w14:textFill>
        </w:rPr>
        <w:t>提供</w:t>
      </w:r>
      <w:r>
        <w:rPr>
          <w:rFonts w:hint="eastAsia" w:ascii="宋体" w:hAnsi="宋体" w:cs="宋体"/>
          <w:color w:val="000000" w:themeColor="text1"/>
          <w:sz w:val="24"/>
          <w:szCs w:val="24"/>
          <w:highlight w:val="none"/>
          <w:lang w:val="en-US" w:eastAsia="zh-CN"/>
          <w14:textFill>
            <w14:solidFill>
              <w14:schemeClr w14:val="tx1"/>
            </w14:solidFill>
          </w14:textFill>
        </w:rPr>
        <w:t>从</w:t>
      </w:r>
      <w:r>
        <w:rPr>
          <w:rFonts w:hint="eastAsia" w:ascii="宋体" w:hAnsi="宋体" w:eastAsia="宋体" w:cs="宋体"/>
          <w:color w:val="000000" w:themeColor="text1"/>
          <w:sz w:val="24"/>
          <w:szCs w:val="24"/>
          <w:highlight w:val="none"/>
          <w14:textFill>
            <w14:solidFill>
              <w14:schemeClr w14:val="tx1"/>
            </w14:solidFill>
          </w14:textFill>
        </w:rPr>
        <w:t>投标截止当月前三个月任意一个月的社保缴纳证明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（项目负责人可以作为授权委托人）</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（9）企业基本开户许可证或企业银行基本存款账户开户基本信息</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（以上证件核验为复印件盖公章）</w:t>
      </w:r>
    </w:p>
    <w:p w14:paraId="5D6924C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八、提交文件截止时间、开标时间和地点</w:t>
      </w:r>
    </w:p>
    <w:p w14:paraId="334B561A">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提交文件截止时间：</w:t>
      </w:r>
      <w:r>
        <w:rPr>
          <w:rFonts w:hint="eastAsia" w:ascii="宋体" w:hAnsi="宋体" w:cs="宋体"/>
          <w:bCs/>
          <w:color w:val="000000" w:themeColor="text1"/>
          <w:sz w:val="24"/>
          <w:highlight w:val="none"/>
          <w:lang w:val="en-US" w:eastAsia="zh-CN"/>
          <w14:textFill>
            <w14:solidFill>
              <w14:schemeClr w14:val="tx1"/>
            </w14:solidFill>
          </w14:textFill>
        </w:rPr>
        <w:t>2026</w:t>
      </w:r>
      <w:r>
        <w:rPr>
          <w:rFonts w:hint="eastAsia" w:ascii="宋体" w:hAnsi="宋体" w:cs="宋体"/>
          <w:bCs/>
          <w:color w:val="000000" w:themeColor="text1"/>
          <w:sz w:val="24"/>
          <w:highlight w:val="none"/>
          <w14:textFill>
            <w14:solidFill>
              <w14:schemeClr w14:val="tx1"/>
            </w14:solidFill>
          </w14:textFill>
        </w:rPr>
        <w:t>年</w:t>
      </w:r>
      <w:r>
        <w:rPr>
          <w:rFonts w:hint="eastAsia" w:ascii="宋体" w:hAnsi="宋体" w:cs="宋体"/>
          <w:color w:val="000000" w:themeColor="text1"/>
          <w:sz w:val="24"/>
          <w:szCs w:val="24"/>
          <w:highlight w:val="none"/>
          <w:u w:val="none"/>
          <w:lang w:val="en-US" w:eastAsia="zh-CN"/>
          <w14:textFill>
            <w14:solidFill>
              <w14:schemeClr w14:val="tx1"/>
            </w14:solidFill>
          </w14:textFill>
        </w:rPr>
        <w:t>05月27日09时30分</w:t>
      </w:r>
      <w:r>
        <w:rPr>
          <w:rFonts w:hint="eastAsia" w:ascii="宋体" w:hAnsi="宋体" w:cs="宋体"/>
          <w:bCs/>
          <w:color w:val="000000" w:themeColor="text1"/>
          <w:sz w:val="24"/>
          <w:highlight w:val="none"/>
          <w14:textFill>
            <w14:solidFill>
              <w14:schemeClr w14:val="tx1"/>
            </w14:solidFill>
          </w14:textFill>
        </w:rPr>
        <w:t>（北京时间）</w:t>
      </w:r>
    </w:p>
    <w:p w14:paraId="629053C6">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baseline"/>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提交文件地点：</w:t>
      </w:r>
      <w:r>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t>上传加密的投标文件至</w:t>
      </w:r>
      <w:r>
        <w:rPr>
          <w:rFonts w:hint="eastAsia" w:ascii="宋体" w:hAnsi="宋体" w:cs="宋体"/>
          <w:i w:val="0"/>
          <w:iCs w:val="0"/>
          <w:caps w:val="0"/>
          <w:color w:val="000000" w:themeColor="text1"/>
          <w:spacing w:val="0"/>
          <w:sz w:val="24"/>
          <w:szCs w:val="24"/>
          <w:highlight w:val="none"/>
          <w:shd w:val="clear" w:color="auto" w:fill="FFFFFF"/>
          <w:lang w:val="en-US" w:eastAsia="zh-CN"/>
          <w14:textFill>
            <w14:solidFill>
              <w14:schemeClr w14:val="tx1"/>
            </w14:solidFill>
          </w14:textFill>
        </w:rPr>
        <w:t>招标人</w:t>
      </w:r>
      <w:r>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t>指定邮箱</w:t>
      </w:r>
      <w:r>
        <w:rPr>
          <w:rFonts w:hint="eastAsia" w:asciiTheme="minorEastAsia" w:hAnsiTheme="minorEastAsia" w:eastAsiaTheme="minorEastAsia"/>
          <w:b/>
          <w:bCs/>
          <w:color w:val="000000" w:themeColor="text1"/>
          <w:kern w:val="2"/>
          <w:sz w:val="24"/>
          <w:highlight w:val="none"/>
          <w:u w:val="single"/>
          <w:lang w:val="en-US" w:eastAsia="zh-CN"/>
          <w14:textFill>
            <w14:solidFill>
              <w14:schemeClr w14:val="tx1"/>
            </w14:solidFill>
          </w14:textFill>
        </w:rPr>
        <w:t>396981817@qq.com</w:t>
      </w:r>
      <w:r>
        <w:rPr>
          <w:rFonts w:hint="eastAsia" w:ascii="宋体" w:hAnsi="宋体" w:eastAsia="宋体" w:cs="宋体"/>
          <w:color w:val="000000" w:themeColor="text1"/>
          <w:sz w:val="24"/>
          <w:highlight w:val="none"/>
          <w:lang w:eastAsia="zh-CN"/>
          <w14:textFill>
            <w14:solidFill>
              <w14:schemeClr w14:val="tx1"/>
            </w14:solidFill>
          </w14:textFill>
        </w:rPr>
        <w:t>。</w:t>
      </w:r>
    </w:p>
    <w:p w14:paraId="4E3E62A5">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baseline"/>
        <w:rPr>
          <w:rFonts w:ascii="宋体" w:hAnsi="宋体" w:cs="宋体"/>
          <w:color w:val="000000" w:themeColor="text1"/>
          <w:sz w:val="24"/>
          <w:highlight w:val="none"/>
          <w:u w:val="single" w:color="000000"/>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开标时间</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2026</w:t>
      </w:r>
      <w:r>
        <w:rPr>
          <w:rFonts w:hint="eastAsia" w:ascii="宋体" w:hAnsi="宋体" w:cs="宋体"/>
          <w:bCs/>
          <w:color w:val="000000" w:themeColor="text1"/>
          <w:sz w:val="24"/>
          <w:highlight w:val="none"/>
          <w14:textFill>
            <w14:solidFill>
              <w14:schemeClr w14:val="tx1"/>
            </w14:solidFill>
          </w14:textFill>
        </w:rPr>
        <w:t>年</w:t>
      </w:r>
      <w:r>
        <w:rPr>
          <w:rFonts w:hint="eastAsia" w:ascii="宋体" w:hAnsi="宋体" w:cs="宋体"/>
          <w:color w:val="000000" w:themeColor="text1"/>
          <w:sz w:val="24"/>
          <w:szCs w:val="24"/>
          <w:highlight w:val="none"/>
          <w:u w:val="none"/>
          <w:lang w:val="en-US" w:eastAsia="zh-CN"/>
          <w14:textFill>
            <w14:solidFill>
              <w14:schemeClr w14:val="tx1"/>
            </w14:solidFill>
          </w14:textFill>
        </w:rPr>
        <w:t>05月27日</w:t>
      </w:r>
      <w:r>
        <w:rPr>
          <w:rFonts w:hint="eastAsia" w:ascii="宋体" w:hAnsi="宋体" w:cs="宋体"/>
          <w:bCs/>
          <w:color w:val="000000" w:themeColor="text1"/>
          <w:sz w:val="24"/>
          <w:highlight w:val="none"/>
          <w:lang w:val="en-US" w:eastAsia="zh-CN"/>
          <w14:textFill>
            <w14:solidFill>
              <w14:schemeClr w14:val="tx1"/>
            </w14:solidFill>
          </w14:textFill>
        </w:rPr>
        <w:t>09</w:t>
      </w:r>
      <w:r>
        <w:rPr>
          <w:rFonts w:hint="eastAsia" w:ascii="宋体" w:hAnsi="宋体" w:cs="宋体"/>
          <w:bCs/>
          <w:color w:val="000000" w:themeColor="text1"/>
          <w:sz w:val="24"/>
          <w:highlight w:val="none"/>
          <w14:textFill>
            <w14:solidFill>
              <w14:schemeClr w14:val="tx1"/>
            </w14:solidFill>
          </w14:textFill>
        </w:rPr>
        <w:t>点</w:t>
      </w:r>
      <w:r>
        <w:rPr>
          <w:rFonts w:hint="eastAsia" w:ascii="宋体" w:hAnsi="宋体" w:cs="宋体"/>
          <w:bCs/>
          <w:color w:val="000000" w:themeColor="text1"/>
          <w:sz w:val="24"/>
          <w:highlight w:val="none"/>
          <w:lang w:val="en-US" w:eastAsia="zh-CN"/>
          <w14:textFill>
            <w14:solidFill>
              <w14:schemeClr w14:val="tx1"/>
            </w14:solidFill>
          </w14:textFill>
        </w:rPr>
        <w:t>30</w:t>
      </w:r>
      <w:r>
        <w:rPr>
          <w:rFonts w:hint="eastAsia" w:ascii="宋体" w:hAnsi="宋体" w:cs="宋体"/>
          <w:bCs/>
          <w:color w:val="000000" w:themeColor="text1"/>
          <w:sz w:val="24"/>
          <w:highlight w:val="none"/>
          <w14:textFill>
            <w14:solidFill>
              <w14:schemeClr w14:val="tx1"/>
            </w14:solidFill>
          </w14:textFill>
        </w:rPr>
        <w:t>分（北京时间）</w:t>
      </w:r>
    </w:p>
    <w:p w14:paraId="7D1963E1">
      <w:pPr>
        <w:keepNext w:val="0"/>
        <w:keepLines w:val="0"/>
        <w:pageBreakBefore w:val="0"/>
        <w:kinsoku/>
        <w:wordWrap/>
        <w:overflowPunct/>
        <w:topLinePunct w:val="0"/>
        <w:autoSpaceDE/>
        <w:autoSpaceDN/>
        <w:bidi w:val="0"/>
        <w:adjustRightInd/>
        <w:snapToGrid/>
        <w:spacing w:line="400" w:lineRule="exact"/>
        <w:ind w:firstLine="480" w:firstLineChars="200"/>
        <w:textAlignment w:val="baseline"/>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开标</w:t>
      </w:r>
      <w:r>
        <w:rPr>
          <w:rFonts w:hint="eastAsia" w:ascii="宋体" w:hAnsi="宋体" w:cs="宋体"/>
          <w:color w:val="000000" w:themeColor="text1"/>
          <w:sz w:val="24"/>
          <w:highlight w:val="none"/>
          <w14:textFill>
            <w14:solidFill>
              <w14:schemeClr w14:val="tx1"/>
            </w14:solidFill>
          </w14:textFill>
        </w:rPr>
        <w:t>地点：</w:t>
      </w:r>
      <w:r>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t>响水县农村产权交易中心（响水县和谐路金港家园东大门南侧二楼）。</w:t>
      </w:r>
    </w:p>
    <w:p w14:paraId="51D049F3">
      <w:pPr>
        <w:pStyle w:val="14"/>
        <w:keepNext w:val="0"/>
        <w:keepLines w:val="0"/>
        <w:widowControl/>
        <w:suppressLineNumbers w:val="0"/>
        <w:spacing w:before="0" w:beforeAutospacing="0" w:after="0" w:afterAutospacing="0"/>
        <w:ind w:left="0" w:right="0" w:firstLine="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网上开标，腾讯会议号：</w:t>
      </w:r>
      <w:r>
        <w:rPr>
          <w:rFonts w:hint="eastAsia" w:ascii="宋体" w:hAnsi="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561-490-530</w:t>
      </w:r>
      <w:r>
        <w:rPr>
          <w:rFonts w:hint="eastAsia" w:ascii="宋体" w:hAnsi="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p>
    <w:p w14:paraId="0B01A9D4">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400" w:lineRule="exact"/>
        <w:ind w:left="0" w:right="0" w:firstLine="420"/>
        <w:textAlignment w:val="baseline"/>
        <w:rPr>
          <w:rFonts w:hint="eastAsia" w:ascii="宋体" w:hAnsi="宋体" w:eastAsia="宋体" w:cs="宋体"/>
          <w:b w:val="0"/>
          <w:bCs w:val="0"/>
          <w:i w:val="0"/>
          <w:iCs w:val="0"/>
          <w:caps w:val="0"/>
          <w:color w:val="000000" w:themeColor="text1"/>
          <w:spacing w:val="0"/>
          <w:sz w:val="24"/>
          <w:szCs w:val="24"/>
          <w:highlight w:val="none"/>
          <w:shd w:val="clear" w:color="auto" w:fill="FFFFFF"/>
          <w:vertAlign w:val="baseli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color="auto" w:fill="FFFFFF"/>
          <w:vertAlign w:val="baseline"/>
          <w14:textFill>
            <w14:solidFill>
              <w14:schemeClr w14:val="tx1"/>
            </w14:solidFill>
          </w14:textFill>
        </w:rPr>
        <w:t>根据《国务院办公厅转发国家发展改革委关于深化公共资源交易平台整合共享指导意见的通知》（国办函〔2019〕41号）等文件精神，全面逐步推行不见面投标开标等招投标活动。本项目开标方式为不见面开标。开标当日，响应供应商无需到达开标现场，仅需在任意地点通过PC端或移动端的“腾讯会议”及相应的配套硬件设备参加开标会议。如因视频设备问题造成无法核实身份的，作无效标处理，参加开标会议的方法详见招标文件。</w:t>
      </w:r>
    </w:p>
    <w:p w14:paraId="15587ED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各投标人在投标截止时间前应当每天都在响水县农村产权交易中心网站（http://xsx.jsnc.gov.cn</w:t>
      </w:r>
      <w:r>
        <w:rPr>
          <w:rFonts w:hint="eastAsia" w:ascii="宋体" w:hAnsi="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相关栏目上查询，以便获取更新的澄清、修改、补充内容。凡涉及到该项目的补充说明和修改，均以响水县农村产权交易中心网上的更正或补充通知为准。</w:t>
      </w:r>
    </w:p>
    <w:p w14:paraId="4E15844D">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九、投标保证金</w:t>
      </w:r>
    </w:p>
    <w:p w14:paraId="1D6C5D48">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w:t>
      </w:r>
      <w:r>
        <w:rPr>
          <w:rFonts w:hint="eastAsia" w:ascii="宋体" w:hAnsi="宋体" w:cs="宋体"/>
          <w:color w:val="000000" w:themeColor="text1"/>
          <w:sz w:val="24"/>
          <w:highlight w:val="none"/>
          <w:lang w:val="en-US" w:eastAsia="zh-CN"/>
          <w14:textFill>
            <w14:solidFill>
              <w14:schemeClr w14:val="tx1"/>
            </w14:solidFill>
          </w14:textFill>
        </w:rPr>
        <w:t>项目</w:t>
      </w:r>
      <w:r>
        <w:rPr>
          <w:rFonts w:hint="eastAsia" w:ascii="宋体" w:hAnsi="宋体" w:cs="宋体"/>
          <w:color w:val="000000" w:themeColor="text1"/>
          <w:sz w:val="24"/>
          <w:highlight w:val="none"/>
          <w14:textFill>
            <w14:solidFill>
              <w14:schemeClr w14:val="tx1"/>
            </w14:solidFill>
          </w14:textFill>
        </w:rPr>
        <w:t>投标保证金数额为人民币</w:t>
      </w:r>
      <w:r>
        <w:rPr>
          <w:rFonts w:hint="eastAsia" w:ascii="宋体" w:hAnsi="宋体" w:cs="宋体"/>
          <w:b/>
          <w:bCs/>
          <w:color w:val="000000" w:themeColor="text1"/>
          <w:sz w:val="24"/>
          <w:highlight w:val="none"/>
          <w:lang w:val="en-US" w:eastAsia="zh-CN"/>
          <w14:textFill>
            <w14:solidFill>
              <w14:schemeClr w14:val="tx1"/>
            </w14:solidFill>
          </w14:textFill>
        </w:rPr>
        <w:t>伍仟元整</w:t>
      </w:r>
      <w:r>
        <w:rPr>
          <w:rFonts w:hint="eastAsia" w:ascii="宋体" w:hAnsi="宋体" w:cs="宋体"/>
          <w:color w:val="000000" w:themeColor="text1"/>
          <w:sz w:val="24"/>
          <w:highlight w:val="none"/>
          <w14:textFill>
            <w14:solidFill>
              <w14:schemeClr w14:val="tx1"/>
            </w14:solidFill>
          </w14:textFill>
        </w:rPr>
        <w:t>。</w:t>
      </w:r>
    </w:p>
    <w:p w14:paraId="37B1EA7E">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保证金必须在报名截止时间前，将保证金从投标人本单位企业银行基本存款账户上直接转（汇）至招标人指定账户（缴纳投标保证金账户以缴费通知单的账户为准）。请各投标人充分考虑保证金在银行之间划转时间，建议提前转（汇），否则无效。</w:t>
      </w:r>
    </w:p>
    <w:p w14:paraId="4A56E0C9">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开户名称：响水县农村产权交易服务中心</w:t>
      </w:r>
    </w:p>
    <w:p w14:paraId="42C59948">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 户 行：江苏银行响水支行</w:t>
      </w:r>
    </w:p>
    <w:p w14:paraId="5B744FD7">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十、联系方式</w:t>
      </w:r>
    </w:p>
    <w:p w14:paraId="0F8E27D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招标人：江苏响水经济开发区东风社区居民委员会</w:t>
      </w:r>
    </w:p>
    <w:p w14:paraId="3E03A6E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color w:val="000000" w:themeColor="text1"/>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地址：江苏响水经济开发区东风社区居民委员会</w:t>
      </w:r>
    </w:p>
    <w:p w14:paraId="54D64F8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联系人：</w:t>
      </w:r>
      <w:r>
        <w:rPr>
          <w:rFonts w:hint="eastAsia" w:ascii="宋体" w:hAnsi="宋体"/>
          <w:color w:val="000000" w:themeColor="text1"/>
          <w:sz w:val="24"/>
          <w:highlight w:val="none"/>
          <w:lang w:val="en-US" w:eastAsia="zh-CN"/>
          <w14:textFill>
            <w14:solidFill>
              <w14:schemeClr w14:val="tx1"/>
            </w14:solidFill>
          </w14:textFill>
        </w:rPr>
        <w:t xml:space="preserve">张先生  </w:t>
      </w:r>
      <w:r>
        <w:rPr>
          <w:rFonts w:hint="eastAsia" w:ascii="宋体" w:hAnsi="宋体"/>
          <w:color w:val="000000" w:themeColor="text1"/>
          <w:sz w:val="24"/>
          <w:highlight w:val="none"/>
          <w14:textFill>
            <w14:solidFill>
              <w14:schemeClr w14:val="tx1"/>
            </w14:solidFill>
          </w14:textFill>
        </w:rPr>
        <w:t xml:space="preserve"> 电话：</w:t>
      </w:r>
      <w:r>
        <w:rPr>
          <w:rFonts w:hint="eastAsia" w:ascii="宋体" w:hAnsi="宋体"/>
          <w:color w:val="000000" w:themeColor="text1"/>
          <w:sz w:val="24"/>
          <w:highlight w:val="none"/>
          <w:lang w:val="en-US" w:eastAsia="zh-CN"/>
          <w14:textFill>
            <w14:solidFill>
              <w14:schemeClr w14:val="tx1"/>
            </w14:solidFill>
          </w14:textFill>
        </w:rPr>
        <w:t>13815509377</w:t>
      </w:r>
    </w:p>
    <w:p w14:paraId="4AF81B4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b w:val="0"/>
          <w:bCs w:val="0"/>
          <w:color w:val="000000" w:themeColor="text1"/>
          <w:sz w:val="24"/>
          <w:highlight w:val="none"/>
          <w:lang w:eastAsia="zh-CN"/>
          <w14:textFill>
            <w14:solidFill>
              <w14:schemeClr w14:val="tx1"/>
            </w14:solidFill>
          </w14:textFill>
        </w:rPr>
      </w:pPr>
      <w:r>
        <w:rPr>
          <w:rFonts w:hint="eastAsia" w:ascii="宋体" w:hAnsi="宋体"/>
          <w:b w:val="0"/>
          <w:bCs w:val="0"/>
          <w:color w:val="000000" w:themeColor="text1"/>
          <w:sz w:val="24"/>
          <w:highlight w:val="none"/>
          <w14:textFill>
            <w14:solidFill>
              <w14:schemeClr w14:val="tx1"/>
            </w14:solidFill>
          </w14:textFill>
        </w:rPr>
        <w:t>招标代理机构：</w:t>
      </w:r>
      <w:r>
        <w:rPr>
          <w:rFonts w:hint="eastAsia" w:ascii="宋体" w:hAnsi="宋体"/>
          <w:b w:val="0"/>
          <w:bCs w:val="0"/>
          <w:color w:val="000000" w:themeColor="text1"/>
          <w:sz w:val="24"/>
          <w:highlight w:val="none"/>
          <w:lang w:eastAsia="zh-CN"/>
          <w14:textFill>
            <w14:solidFill>
              <w14:schemeClr w14:val="tx1"/>
            </w14:solidFill>
          </w14:textFill>
        </w:rPr>
        <w:t>盐城润威项目管理有限公司</w:t>
      </w:r>
    </w:p>
    <w:p w14:paraId="6E40F0A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地址：</w:t>
      </w:r>
      <w:r>
        <w:rPr>
          <w:rFonts w:hint="eastAsia"/>
          <w:sz w:val="24"/>
          <w:szCs w:val="24"/>
        </w:rPr>
        <w:t>响水县开发区运响河东侧1幢1层</w:t>
      </w:r>
    </w:p>
    <w:p w14:paraId="4AD0AC47">
      <w:pPr>
        <w:keepNext w:val="0"/>
        <w:keepLines w:val="0"/>
        <w:pageBreakBefore w:val="0"/>
        <w:kinsoku/>
        <w:wordWrap/>
        <w:overflowPunct/>
        <w:topLinePunct w:val="0"/>
        <w:autoSpaceDE/>
        <w:autoSpaceDN/>
        <w:bidi w:val="0"/>
        <w:adjustRightInd/>
        <w:snapToGrid/>
        <w:spacing w:line="400" w:lineRule="exact"/>
        <w:ind w:firstLine="480" w:firstLineChars="200"/>
        <w:jc w:val="both"/>
        <w:rPr>
          <w:rFonts w:hint="default" w:ascii="宋体" w:hAnsi="宋体"/>
          <w:color w:val="000000" w:themeColor="text1"/>
          <w:sz w:val="24"/>
          <w:highlight w:val="none"/>
          <w:lang w:val="en-US"/>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联系人</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韩女士</w:t>
      </w:r>
      <w:r>
        <w:rPr>
          <w:rFonts w:hint="eastAsia"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lang w:val="en-US" w:eastAsia="zh-CN"/>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电话：</w:t>
      </w:r>
      <w:r>
        <w:rPr>
          <w:rFonts w:hint="eastAsia" w:ascii="宋体" w:hAnsi="宋体"/>
          <w:color w:val="000000" w:themeColor="text1"/>
          <w:sz w:val="24"/>
          <w:highlight w:val="none"/>
          <w:lang w:val="en-US" w:eastAsia="zh-CN"/>
          <w14:textFill>
            <w14:solidFill>
              <w14:schemeClr w14:val="tx1"/>
            </w14:solidFill>
          </w14:textFill>
        </w:rPr>
        <w:t>15251118196</w:t>
      </w:r>
      <w:r>
        <w:rPr>
          <w:rFonts w:hint="eastAsia" w:ascii="宋体" w:hAnsi="宋体" w:cs="宋体"/>
          <w:color w:val="000000" w:themeColor="text1"/>
          <w:sz w:val="24"/>
          <w:highlight w:val="none"/>
          <w:lang w:val="en-US" w:eastAsia="zh-CN"/>
          <w14:textFill>
            <w14:solidFill>
              <w14:schemeClr w14:val="tx1"/>
            </w14:solidFill>
          </w14:textFill>
        </w:rPr>
        <w:t xml:space="preserve">  </w:t>
      </w:r>
    </w:p>
    <w:p w14:paraId="78F578CA">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lang w:val="en-US" w:eastAsia="zh-CN"/>
          <w14:textFill>
            <w14:solidFill>
              <w14:schemeClr w14:val="tx1"/>
            </w14:solidFill>
          </w14:textFill>
        </w:rPr>
      </w:pPr>
    </w:p>
    <w:p w14:paraId="3C2C013B">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江苏响水经济开发区东风社区居民委员会</w:t>
      </w:r>
    </w:p>
    <w:p w14:paraId="15F84F01">
      <w:pPr>
        <w:keepNext w:val="0"/>
        <w:keepLines w:val="0"/>
        <w:pageBreakBefore w:val="0"/>
        <w:shd w:val="clear"/>
        <w:kinsoku/>
        <w:wordWrap/>
        <w:overflowPunct/>
        <w:topLinePunct w:val="0"/>
        <w:autoSpaceDE/>
        <w:autoSpaceDN/>
        <w:bidi w:val="0"/>
        <w:adjustRightInd/>
        <w:snapToGrid/>
        <w:spacing w:line="400" w:lineRule="exact"/>
        <w:jc w:val="both"/>
        <w:rPr>
          <w:rFonts w:hint="eastAsia" w:ascii="宋体" w:hAnsi="宋体"/>
          <w:color w:val="000000" w:themeColor="text1"/>
          <w:sz w:val="24"/>
          <w:highlight w:val="none"/>
          <w14:textFill>
            <w14:solidFill>
              <w14:schemeClr w14:val="tx1"/>
            </w14:solidFill>
          </w14:textFill>
        </w:rPr>
      </w:pPr>
    </w:p>
    <w:p w14:paraId="61ACACB3">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2026</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lang w:val="en-US" w:eastAsia="zh-CN"/>
          <w14:textFill>
            <w14:solidFill>
              <w14:schemeClr w14:val="tx1"/>
            </w14:solidFill>
          </w14:textFill>
        </w:rPr>
        <w:t>05</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lang w:val="en-US" w:eastAsia="zh-CN"/>
          <w14:textFill>
            <w14:solidFill>
              <w14:schemeClr w14:val="tx1"/>
            </w14:solidFill>
          </w14:textFill>
        </w:rPr>
        <w:t>09</w:t>
      </w:r>
      <w:r>
        <w:rPr>
          <w:rFonts w:hint="eastAsia" w:ascii="宋体" w:hAnsi="宋体"/>
          <w:color w:val="000000" w:themeColor="text1"/>
          <w:sz w:val="24"/>
          <w:highlight w:val="none"/>
          <w14:textFill>
            <w14:solidFill>
              <w14:schemeClr w14:val="tx1"/>
            </w14:solidFill>
          </w14:textFill>
        </w:rPr>
        <w:t>日</w:t>
      </w:r>
    </w:p>
    <w:p w14:paraId="07ECFDAD">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14:textFill>
            <w14:solidFill>
              <w14:schemeClr w14:val="tx1"/>
            </w14:solidFill>
          </w14:textFill>
        </w:rPr>
      </w:pPr>
    </w:p>
    <w:p w14:paraId="02121D0A">
      <w:pPr>
        <w:rPr>
          <w:rFonts w:hint="eastAsia" w:ascii="宋体" w:hAnsi="宋体" w:eastAsia="仿宋_GB2312"/>
          <w:color w:val="000000" w:themeColor="text1"/>
          <w:sz w:val="24"/>
          <w:highlight w:val="none"/>
          <w:lang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br w:type="page"/>
      </w:r>
    </w:p>
    <w:p w14:paraId="4DDBB3A1">
      <w:pPr>
        <w:numPr>
          <w:ilvl w:val="0"/>
          <w:numId w:val="1"/>
        </w:numPr>
        <w:spacing w:before="60" w:beforeLines="25" w:after="60" w:afterLines="25"/>
        <w:jc w:val="center"/>
        <w:outlineLvl w:val="0"/>
        <w:rPr>
          <w:rFonts w:ascii="宋体" w:hAnsi="宋体"/>
          <w:b/>
          <w:color w:val="000000" w:themeColor="text1"/>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kern w:val="0"/>
          <w:sz w:val="32"/>
          <w:szCs w:val="32"/>
          <w:highlight w:val="none"/>
          <w14:textFill>
            <w14:solidFill>
              <w14:schemeClr w14:val="tx1"/>
            </w14:solidFill>
          </w14:textFill>
        </w:rPr>
        <w:t xml:space="preserve"> </w:t>
      </w:r>
      <w:bookmarkStart w:id="0" w:name="_Toc24829"/>
      <w:r>
        <w:rPr>
          <w:rFonts w:hint="eastAsia" w:ascii="宋体" w:hAnsi="宋体"/>
          <w:b/>
          <w:color w:val="000000" w:themeColor="text1"/>
          <w:sz w:val="32"/>
          <w:szCs w:val="32"/>
          <w:highlight w:val="none"/>
          <w14:textFill>
            <w14:solidFill>
              <w14:schemeClr w14:val="tx1"/>
            </w14:solidFill>
          </w14:textFill>
        </w:rPr>
        <w:t>投标人须知</w:t>
      </w:r>
      <w:bookmarkEnd w:id="0"/>
    </w:p>
    <w:p w14:paraId="66ABB675">
      <w:pPr>
        <w:spacing w:before="60" w:beforeLines="25" w:after="60" w:afterLines="25"/>
        <w:jc w:val="center"/>
        <w:outlineLvl w:val="0"/>
        <w:rPr>
          <w:rFonts w:ascii="宋体" w:hAnsi="宋体"/>
          <w:b/>
          <w:color w:val="000000" w:themeColor="text1"/>
          <w:sz w:val="28"/>
          <w:szCs w:val="28"/>
          <w:highlight w:val="none"/>
          <w14:textFill>
            <w14:solidFill>
              <w14:schemeClr w14:val="tx1"/>
            </w14:solidFill>
          </w14:textFill>
        </w:rPr>
      </w:pPr>
      <w:bookmarkStart w:id="1" w:name="_Toc18059"/>
      <w:r>
        <w:rPr>
          <w:rFonts w:hint="eastAsia" w:ascii="宋体" w:hAnsi="宋体"/>
          <w:b/>
          <w:color w:val="000000" w:themeColor="text1"/>
          <w:sz w:val="28"/>
          <w:szCs w:val="28"/>
          <w:highlight w:val="none"/>
          <w14:textFill>
            <w14:solidFill>
              <w14:schemeClr w14:val="tx1"/>
            </w14:solidFill>
          </w14:textFill>
        </w:rPr>
        <w:t>投标人须知前附表</w:t>
      </w:r>
      <w:bookmarkEnd w:id="1"/>
    </w:p>
    <w:tbl>
      <w:tblPr>
        <w:tblStyle w:val="16"/>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3243"/>
        <w:gridCol w:w="4968"/>
      </w:tblGrid>
      <w:tr w14:paraId="04CE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blHeader/>
          <w:jc w:val="center"/>
        </w:trPr>
        <w:tc>
          <w:tcPr>
            <w:tcW w:w="1025" w:type="dxa"/>
            <w:noWrap w:val="0"/>
            <w:vAlign w:val="center"/>
          </w:tcPr>
          <w:p w14:paraId="0EC1D9E1">
            <w:pPr>
              <w:adjustRightInd w:val="0"/>
              <w:snapToGrid w:val="0"/>
              <w:spacing w:line="400" w:lineRule="exact"/>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条款号</w:t>
            </w:r>
          </w:p>
        </w:tc>
        <w:tc>
          <w:tcPr>
            <w:tcW w:w="3243" w:type="dxa"/>
            <w:noWrap w:val="0"/>
            <w:vAlign w:val="center"/>
          </w:tcPr>
          <w:p w14:paraId="19AF4846">
            <w:pPr>
              <w:adjustRightInd w:val="0"/>
              <w:snapToGrid w:val="0"/>
              <w:spacing w:line="400" w:lineRule="exact"/>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条  款  名  称</w:t>
            </w:r>
          </w:p>
        </w:tc>
        <w:tc>
          <w:tcPr>
            <w:tcW w:w="4968" w:type="dxa"/>
            <w:noWrap w:val="0"/>
            <w:vAlign w:val="center"/>
          </w:tcPr>
          <w:p w14:paraId="707529F8">
            <w:pPr>
              <w:adjustRightInd w:val="0"/>
              <w:snapToGrid w:val="0"/>
              <w:spacing w:line="400" w:lineRule="exact"/>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编  列  内  容</w:t>
            </w:r>
          </w:p>
        </w:tc>
      </w:tr>
      <w:tr w14:paraId="6898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1025" w:type="dxa"/>
            <w:noWrap w:val="0"/>
            <w:vAlign w:val="center"/>
          </w:tcPr>
          <w:p w14:paraId="25C384E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1.1.2</w:t>
            </w:r>
          </w:p>
        </w:tc>
        <w:tc>
          <w:tcPr>
            <w:tcW w:w="3243" w:type="dxa"/>
            <w:noWrap w:val="0"/>
            <w:vAlign w:val="center"/>
          </w:tcPr>
          <w:p w14:paraId="0234AE8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招标人</w:t>
            </w:r>
          </w:p>
        </w:tc>
        <w:tc>
          <w:tcPr>
            <w:tcW w:w="4968" w:type="dxa"/>
            <w:noWrap w:val="0"/>
            <w:vAlign w:val="center"/>
          </w:tcPr>
          <w:p w14:paraId="14A3C0BC">
            <w:pPr>
              <w:spacing w:line="500" w:lineRule="exact"/>
              <w:jc w:val="left"/>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招标人：</w:t>
            </w:r>
            <w:r>
              <w:rPr>
                <w:rFonts w:hint="eastAsia" w:ascii="宋体" w:hAnsi="宋体"/>
                <w:color w:val="000000" w:themeColor="text1"/>
                <w:sz w:val="24"/>
                <w:szCs w:val="24"/>
                <w:highlight w:val="none"/>
                <w:lang w:eastAsia="zh-CN"/>
                <w14:textFill>
                  <w14:solidFill>
                    <w14:schemeClr w14:val="tx1"/>
                  </w14:solidFill>
                </w14:textFill>
              </w:rPr>
              <w:t>江苏响水经济开发区东风社区居民委员会</w:t>
            </w:r>
          </w:p>
          <w:p w14:paraId="5543977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联系人：</w:t>
            </w:r>
            <w:r>
              <w:rPr>
                <w:rFonts w:hint="eastAsia" w:ascii="宋体" w:hAnsi="宋体"/>
                <w:color w:val="000000" w:themeColor="text1"/>
                <w:sz w:val="24"/>
                <w:highlight w:val="none"/>
                <w:lang w:val="en-US" w:eastAsia="zh-CN"/>
                <w14:textFill>
                  <w14:solidFill>
                    <w14:schemeClr w14:val="tx1"/>
                  </w14:solidFill>
                </w14:textFill>
              </w:rPr>
              <w:t xml:space="preserve">张先生  </w:t>
            </w:r>
            <w:r>
              <w:rPr>
                <w:rFonts w:hint="eastAsia" w:ascii="宋体" w:hAnsi="宋体"/>
                <w:color w:val="000000" w:themeColor="text1"/>
                <w:sz w:val="24"/>
                <w:highlight w:val="none"/>
                <w14:textFill>
                  <w14:solidFill>
                    <w14:schemeClr w14:val="tx1"/>
                  </w14:solidFill>
                </w14:textFill>
              </w:rPr>
              <w:t xml:space="preserve"> </w:t>
            </w:r>
          </w:p>
          <w:p w14:paraId="5ABACAE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电话：</w:t>
            </w:r>
            <w:r>
              <w:rPr>
                <w:rFonts w:hint="eastAsia" w:ascii="宋体" w:hAnsi="宋体"/>
                <w:color w:val="000000" w:themeColor="text1"/>
                <w:sz w:val="24"/>
                <w:highlight w:val="none"/>
                <w:lang w:val="en-US" w:eastAsia="zh-CN"/>
                <w14:textFill>
                  <w14:solidFill>
                    <w14:schemeClr w14:val="tx1"/>
                  </w14:solidFill>
                </w14:textFill>
              </w:rPr>
              <w:t>13815509377</w:t>
            </w:r>
          </w:p>
        </w:tc>
      </w:tr>
      <w:tr w14:paraId="6065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025" w:type="dxa"/>
            <w:noWrap w:val="0"/>
            <w:vAlign w:val="center"/>
          </w:tcPr>
          <w:p w14:paraId="68D1F0B5">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1.1.3</w:t>
            </w:r>
          </w:p>
        </w:tc>
        <w:tc>
          <w:tcPr>
            <w:tcW w:w="3243" w:type="dxa"/>
            <w:noWrap w:val="0"/>
            <w:vAlign w:val="center"/>
          </w:tcPr>
          <w:p w14:paraId="1D1D9CE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招标代理机构</w:t>
            </w:r>
          </w:p>
        </w:tc>
        <w:tc>
          <w:tcPr>
            <w:tcW w:w="4968" w:type="dxa"/>
            <w:noWrap w:val="0"/>
            <w:vAlign w:val="center"/>
          </w:tcPr>
          <w:p w14:paraId="65B27A8A">
            <w:pPr>
              <w:spacing w:line="500" w:lineRule="exact"/>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招标代理机构：</w:t>
            </w:r>
            <w:r>
              <w:rPr>
                <w:rFonts w:hint="eastAsia" w:ascii="宋体" w:hAnsi="宋体"/>
                <w:color w:val="000000" w:themeColor="text1"/>
                <w:sz w:val="24"/>
                <w:szCs w:val="24"/>
                <w:highlight w:val="none"/>
                <w:lang w:eastAsia="zh-CN"/>
                <w14:textFill>
                  <w14:solidFill>
                    <w14:schemeClr w14:val="tx1"/>
                  </w14:solidFill>
                </w14:textFill>
              </w:rPr>
              <w:t>盐城润威项目管理有限公司</w:t>
            </w:r>
          </w:p>
          <w:p w14:paraId="5DBEA9F6">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联系人：</w:t>
            </w:r>
            <w:r>
              <w:rPr>
                <w:rFonts w:hint="eastAsia" w:ascii="宋体" w:hAnsi="宋体"/>
                <w:color w:val="000000" w:themeColor="text1"/>
                <w:sz w:val="24"/>
                <w:szCs w:val="24"/>
                <w:highlight w:val="none"/>
                <w:lang w:val="en-US" w:eastAsia="zh-CN"/>
                <w14:textFill>
                  <w14:solidFill>
                    <w14:schemeClr w14:val="tx1"/>
                  </w14:solidFill>
                </w14:textFill>
              </w:rPr>
              <w:t>韩女士</w:t>
            </w:r>
            <w:r>
              <w:rPr>
                <w:rFonts w:hint="eastAsia" w:ascii="宋体" w:hAnsi="宋体"/>
                <w:color w:val="000000" w:themeColor="text1"/>
                <w:sz w:val="24"/>
                <w:szCs w:val="24"/>
                <w:highlight w:val="none"/>
                <w14:textFill>
                  <w14:solidFill>
                    <w14:schemeClr w14:val="tx1"/>
                  </w14:solidFill>
                </w14:textFill>
              </w:rPr>
              <w:t xml:space="preserve">   </w:t>
            </w:r>
          </w:p>
          <w:p w14:paraId="3F252517">
            <w:pPr>
              <w:adjustRightInd w:val="0"/>
              <w:snapToGrid w:val="0"/>
              <w:spacing w:line="400" w:lineRule="exac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联系电话：</w:t>
            </w:r>
            <w:r>
              <w:rPr>
                <w:rFonts w:hint="eastAsia" w:ascii="宋体" w:hAnsi="宋体"/>
                <w:color w:val="000000" w:themeColor="text1"/>
                <w:sz w:val="24"/>
                <w:szCs w:val="24"/>
                <w:highlight w:val="none"/>
                <w:lang w:val="en-US" w:eastAsia="zh-CN"/>
                <w14:textFill>
                  <w14:solidFill>
                    <w14:schemeClr w14:val="tx1"/>
                  </w14:solidFill>
                </w14:textFill>
              </w:rPr>
              <w:t>15251118196</w:t>
            </w:r>
          </w:p>
        </w:tc>
      </w:tr>
      <w:tr w14:paraId="3243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25" w:type="dxa"/>
            <w:noWrap w:val="0"/>
            <w:vAlign w:val="center"/>
          </w:tcPr>
          <w:p w14:paraId="2D37C22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1.1.4</w:t>
            </w:r>
          </w:p>
        </w:tc>
        <w:tc>
          <w:tcPr>
            <w:tcW w:w="3243" w:type="dxa"/>
            <w:noWrap w:val="0"/>
            <w:vAlign w:val="center"/>
          </w:tcPr>
          <w:p w14:paraId="7FBD844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招标项目及标段名称</w:t>
            </w:r>
          </w:p>
        </w:tc>
        <w:tc>
          <w:tcPr>
            <w:tcW w:w="4968" w:type="dxa"/>
            <w:noWrap w:val="0"/>
            <w:vAlign w:val="center"/>
          </w:tcPr>
          <w:p w14:paraId="45421F35">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 xml:space="preserve">响水县开发区东风社区道路维修工程 </w:t>
            </w:r>
          </w:p>
        </w:tc>
      </w:tr>
      <w:tr w14:paraId="7121C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exact"/>
          <w:jc w:val="center"/>
        </w:trPr>
        <w:tc>
          <w:tcPr>
            <w:tcW w:w="1025" w:type="dxa"/>
            <w:noWrap w:val="0"/>
            <w:vAlign w:val="center"/>
          </w:tcPr>
          <w:p w14:paraId="3AD2396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1.1.5</w:t>
            </w:r>
          </w:p>
        </w:tc>
        <w:tc>
          <w:tcPr>
            <w:tcW w:w="3243" w:type="dxa"/>
            <w:noWrap w:val="0"/>
            <w:vAlign w:val="center"/>
          </w:tcPr>
          <w:p w14:paraId="0FFEB56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建设地点</w:t>
            </w:r>
          </w:p>
        </w:tc>
        <w:tc>
          <w:tcPr>
            <w:tcW w:w="4968" w:type="dxa"/>
            <w:noWrap w:val="0"/>
            <w:vAlign w:val="center"/>
          </w:tcPr>
          <w:p w14:paraId="23AA1B9B">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响水县</w:t>
            </w:r>
            <w:r>
              <w:rPr>
                <w:rFonts w:hint="eastAsia" w:ascii="宋体" w:hAnsi="宋体" w:cs="宋体"/>
                <w:color w:val="000000" w:themeColor="text1"/>
                <w:sz w:val="24"/>
                <w:szCs w:val="24"/>
                <w:highlight w:val="none"/>
                <w14:textFill>
                  <w14:solidFill>
                    <w14:schemeClr w14:val="tx1"/>
                  </w14:solidFill>
                </w14:textFill>
              </w:rPr>
              <w:t>内</w:t>
            </w:r>
          </w:p>
        </w:tc>
      </w:tr>
      <w:tr w14:paraId="7668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1822D475">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1.2.1</w:t>
            </w:r>
          </w:p>
        </w:tc>
        <w:tc>
          <w:tcPr>
            <w:tcW w:w="3243" w:type="dxa"/>
            <w:noWrap w:val="0"/>
            <w:vAlign w:val="center"/>
          </w:tcPr>
          <w:p w14:paraId="7DC189E8">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资金来源</w:t>
            </w:r>
          </w:p>
        </w:tc>
        <w:tc>
          <w:tcPr>
            <w:tcW w:w="4968" w:type="dxa"/>
            <w:noWrap w:val="0"/>
            <w:vAlign w:val="center"/>
          </w:tcPr>
          <w:p w14:paraId="711A8249">
            <w:pPr>
              <w:adjustRightInd w:val="0"/>
              <w:snapToGrid w:val="0"/>
              <w:spacing w:line="400" w:lineRule="exac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村集体资金</w:t>
            </w:r>
          </w:p>
        </w:tc>
      </w:tr>
      <w:tr w14:paraId="49879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28B8377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1.2.2</w:t>
            </w:r>
          </w:p>
        </w:tc>
        <w:tc>
          <w:tcPr>
            <w:tcW w:w="3243" w:type="dxa"/>
            <w:noWrap w:val="0"/>
            <w:vAlign w:val="center"/>
          </w:tcPr>
          <w:p w14:paraId="6D7E79C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出资比例</w:t>
            </w:r>
          </w:p>
        </w:tc>
        <w:tc>
          <w:tcPr>
            <w:tcW w:w="4968" w:type="dxa"/>
            <w:noWrap w:val="0"/>
            <w:vAlign w:val="center"/>
          </w:tcPr>
          <w:p w14:paraId="4AA6210B">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100%</w:t>
            </w:r>
          </w:p>
        </w:tc>
      </w:tr>
      <w:tr w14:paraId="278A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7175FF0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1.2.3</w:t>
            </w:r>
          </w:p>
        </w:tc>
        <w:tc>
          <w:tcPr>
            <w:tcW w:w="3243" w:type="dxa"/>
            <w:noWrap w:val="0"/>
            <w:vAlign w:val="center"/>
          </w:tcPr>
          <w:p w14:paraId="741A438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资金落实情况</w:t>
            </w:r>
          </w:p>
        </w:tc>
        <w:tc>
          <w:tcPr>
            <w:tcW w:w="4968" w:type="dxa"/>
            <w:noWrap w:val="0"/>
            <w:vAlign w:val="center"/>
          </w:tcPr>
          <w:p w14:paraId="0EBE6544">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已落实</w:t>
            </w:r>
          </w:p>
        </w:tc>
      </w:tr>
      <w:tr w14:paraId="3C67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1" w:hRule="exact"/>
          <w:jc w:val="center"/>
        </w:trPr>
        <w:tc>
          <w:tcPr>
            <w:tcW w:w="1025" w:type="dxa"/>
            <w:noWrap w:val="0"/>
            <w:vAlign w:val="center"/>
          </w:tcPr>
          <w:p w14:paraId="109949A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1.2.4</w:t>
            </w:r>
          </w:p>
        </w:tc>
        <w:tc>
          <w:tcPr>
            <w:tcW w:w="3243" w:type="dxa"/>
            <w:noWrap w:val="0"/>
            <w:vAlign w:val="center"/>
          </w:tcPr>
          <w:p w14:paraId="25E06762">
            <w:pPr>
              <w:shd w:val="clear"/>
              <w:spacing w:before="62" w:after="62" w:line="420" w:lineRule="exact"/>
              <w:ind w:firstLine="480" w:firstLineChars="200"/>
              <w:textAlignment w:val="baseline"/>
              <w:rPr>
                <w:rFonts w:hint="eastAsia" w:ascii="宋体" w:hAnsi="宋体" w:eastAsia="宋体" w:cs="宋体"/>
                <w:bCs/>
                <w:color w:val="000000" w:themeColor="text1"/>
                <w:sz w:val="24"/>
                <w:highlight w:val="none"/>
                <w:lang w:val="en-US" w:eastAsia="zh-CN"/>
                <w14:textFill>
                  <w14:solidFill>
                    <w14:schemeClr w14:val="tx1"/>
                  </w14:solidFill>
                </w14:textFill>
              </w:rPr>
            </w:pPr>
            <w:r>
              <w:rPr>
                <w:rFonts w:hint="eastAsia" w:ascii="宋体" w:hAnsi="宋体" w:eastAsia="宋体" w:cs="宋体"/>
                <w:bCs/>
                <w:color w:val="000000" w:themeColor="text1"/>
                <w:sz w:val="24"/>
                <w:highlight w:val="none"/>
                <w:lang w:val="en-US" w:eastAsia="zh-CN"/>
                <w14:textFill>
                  <w14:solidFill>
                    <w14:schemeClr w14:val="tx1"/>
                  </w14:solidFill>
                </w14:textFill>
              </w:rPr>
              <w:t>工程款支付方式</w:t>
            </w:r>
          </w:p>
        </w:tc>
        <w:tc>
          <w:tcPr>
            <w:tcW w:w="4968" w:type="dxa"/>
            <w:noWrap w:val="0"/>
            <w:vAlign w:val="center"/>
          </w:tcPr>
          <w:p w14:paraId="2D95D8C0">
            <w:pPr>
              <w:shd w:val="clear"/>
              <w:spacing w:before="62" w:after="62" w:line="420" w:lineRule="exact"/>
              <w:textAlignment w:val="baseline"/>
              <w:rPr>
                <w:rFonts w:hint="default" w:ascii="宋体" w:hAnsi="宋体" w:eastAsia="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本项目无预付款，项目全部竣工并经验收合格后付至合同总价的70%。经审计验收合格后拨付至结算价的90%。余款质保期满（一年）无质量问题一次性付清。</w:t>
            </w:r>
          </w:p>
        </w:tc>
      </w:tr>
      <w:tr w14:paraId="7305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25" w:type="dxa"/>
            <w:noWrap w:val="0"/>
            <w:vAlign w:val="center"/>
          </w:tcPr>
          <w:p w14:paraId="061A953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1.3.1</w:t>
            </w:r>
          </w:p>
        </w:tc>
        <w:tc>
          <w:tcPr>
            <w:tcW w:w="3243" w:type="dxa"/>
            <w:noWrap w:val="0"/>
            <w:vAlign w:val="center"/>
          </w:tcPr>
          <w:p w14:paraId="28BE3B9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招标范围</w:t>
            </w:r>
          </w:p>
        </w:tc>
        <w:tc>
          <w:tcPr>
            <w:tcW w:w="4968" w:type="dxa"/>
            <w:noWrap w:val="0"/>
            <w:vAlign w:val="center"/>
          </w:tcPr>
          <w:p w14:paraId="04791466">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响水县开发区东风社区道路维修工程</w:t>
            </w:r>
            <w:r>
              <w:rPr>
                <w:rFonts w:hint="eastAsia" w:ascii="宋体" w:hAnsi="宋体" w:cs="宋体"/>
                <w:color w:val="000000" w:themeColor="text1"/>
                <w:sz w:val="24"/>
                <w:szCs w:val="24"/>
                <w:highlight w:val="none"/>
                <w:lang w:val="en-US" w:eastAsia="zh-CN"/>
                <w14:textFill>
                  <w14:solidFill>
                    <w14:schemeClr w14:val="tx1"/>
                  </w14:solidFill>
                </w14:textFill>
              </w:rPr>
              <w:t>的</w:t>
            </w:r>
            <w:r>
              <w:rPr>
                <w:rFonts w:hint="eastAsia" w:ascii="宋体" w:hAnsi="宋体" w:cs="宋体"/>
                <w:color w:val="000000" w:themeColor="text1"/>
                <w:sz w:val="24"/>
                <w:szCs w:val="24"/>
                <w:highlight w:val="none"/>
                <w14:textFill>
                  <w14:solidFill>
                    <w14:schemeClr w14:val="tx1"/>
                  </w14:solidFill>
                </w14:textFill>
              </w:rPr>
              <w:t>施工，详见招标工程量清单</w:t>
            </w:r>
          </w:p>
        </w:tc>
      </w:tr>
      <w:tr w14:paraId="28C3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3312532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1.3.2</w:t>
            </w:r>
          </w:p>
        </w:tc>
        <w:tc>
          <w:tcPr>
            <w:tcW w:w="3243" w:type="dxa"/>
            <w:noWrap w:val="0"/>
            <w:vAlign w:val="center"/>
          </w:tcPr>
          <w:p w14:paraId="1F615CF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计划工期</w:t>
            </w:r>
          </w:p>
        </w:tc>
        <w:tc>
          <w:tcPr>
            <w:tcW w:w="4968" w:type="dxa"/>
            <w:noWrap w:val="0"/>
            <w:vAlign w:val="top"/>
          </w:tcPr>
          <w:p w14:paraId="4E217EF9">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要求工期：</w:t>
            </w:r>
            <w:r>
              <w:rPr>
                <w:rFonts w:hint="eastAsia" w:ascii="宋体" w:hAnsi="宋体" w:cs="宋体"/>
                <w:color w:val="000000" w:themeColor="text1"/>
                <w:sz w:val="24"/>
                <w:szCs w:val="24"/>
                <w:highlight w:val="none"/>
                <w:lang w:val="en-US" w:eastAsia="zh-CN"/>
                <w14:textFill>
                  <w14:solidFill>
                    <w14:schemeClr w14:val="tx1"/>
                  </w14:solidFill>
                </w14:textFill>
              </w:rPr>
              <w:t>7日历天</w:t>
            </w:r>
          </w:p>
        </w:tc>
      </w:tr>
      <w:tr w14:paraId="2073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top"/>
          </w:tcPr>
          <w:p w14:paraId="238408F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1.3.3</w:t>
            </w:r>
          </w:p>
        </w:tc>
        <w:tc>
          <w:tcPr>
            <w:tcW w:w="3243" w:type="dxa"/>
            <w:noWrap w:val="0"/>
            <w:vAlign w:val="top"/>
          </w:tcPr>
          <w:p w14:paraId="0A73E0F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质量要求</w:t>
            </w:r>
          </w:p>
        </w:tc>
        <w:tc>
          <w:tcPr>
            <w:tcW w:w="4968" w:type="dxa"/>
            <w:noWrap w:val="0"/>
            <w:vAlign w:val="top"/>
          </w:tcPr>
          <w:p w14:paraId="64E56D20">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质量标准：合格</w:t>
            </w:r>
          </w:p>
        </w:tc>
      </w:tr>
      <w:tr w14:paraId="174F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01C1D00B">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1.4.1</w:t>
            </w:r>
          </w:p>
        </w:tc>
        <w:tc>
          <w:tcPr>
            <w:tcW w:w="3243" w:type="dxa"/>
            <w:noWrap w:val="0"/>
            <w:vAlign w:val="center"/>
          </w:tcPr>
          <w:p w14:paraId="16BA0FA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投标人资格要求</w:t>
            </w:r>
          </w:p>
        </w:tc>
        <w:tc>
          <w:tcPr>
            <w:tcW w:w="4968" w:type="dxa"/>
            <w:noWrap w:val="0"/>
            <w:vAlign w:val="top"/>
          </w:tcPr>
          <w:p w14:paraId="67C881EC">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详见招标公告</w:t>
            </w:r>
          </w:p>
        </w:tc>
      </w:tr>
      <w:tr w14:paraId="012F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1ED24C1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1.4.2</w:t>
            </w:r>
          </w:p>
        </w:tc>
        <w:tc>
          <w:tcPr>
            <w:tcW w:w="3243" w:type="dxa"/>
            <w:noWrap w:val="0"/>
            <w:vAlign w:val="center"/>
          </w:tcPr>
          <w:p w14:paraId="4EDCDF3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是否接受联合体投标</w:t>
            </w:r>
          </w:p>
        </w:tc>
        <w:tc>
          <w:tcPr>
            <w:tcW w:w="4968" w:type="dxa"/>
            <w:noWrap w:val="0"/>
            <w:vAlign w:val="center"/>
          </w:tcPr>
          <w:p w14:paraId="0745F92E">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不接受</w:t>
            </w:r>
          </w:p>
        </w:tc>
      </w:tr>
      <w:tr w14:paraId="2110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7B0147C8">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1.9.1</w:t>
            </w:r>
          </w:p>
        </w:tc>
        <w:tc>
          <w:tcPr>
            <w:tcW w:w="3243" w:type="dxa"/>
            <w:noWrap w:val="0"/>
            <w:vAlign w:val="center"/>
          </w:tcPr>
          <w:p w14:paraId="7E8F8B6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踏勘现场</w:t>
            </w:r>
          </w:p>
        </w:tc>
        <w:tc>
          <w:tcPr>
            <w:tcW w:w="4968" w:type="dxa"/>
            <w:noWrap w:val="0"/>
            <w:vAlign w:val="center"/>
          </w:tcPr>
          <w:p w14:paraId="45C40ED5">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投标人自行踏勘</w:t>
            </w:r>
          </w:p>
        </w:tc>
      </w:tr>
      <w:tr w14:paraId="7A36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EEF637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1.10</w:t>
            </w:r>
          </w:p>
        </w:tc>
        <w:tc>
          <w:tcPr>
            <w:tcW w:w="3243" w:type="dxa"/>
            <w:noWrap w:val="0"/>
            <w:vAlign w:val="center"/>
          </w:tcPr>
          <w:p w14:paraId="1357C163">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分  包</w:t>
            </w:r>
          </w:p>
        </w:tc>
        <w:tc>
          <w:tcPr>
            <w:tcW w:w="4968" w:type="dxa"/>
            <w:noWrap w:val="0"/>
            <w:vAlign w:val="center"/>
          </w:tcPr>
          <w:p w14:paraId="2F64BC3F">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不允许</w:t>
            </w:r>
          </w:p>
        </w:tc>
      </w:tr>
      <w:tr w14:paraId="7FE0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025" w:type="dxa"/>
            <w:noWrap w:val="0"/>
            <w:vAlign w:val="center"/>
          </w:tcPr>
          <w:p w14:paraId="51A353E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1.11</w:t>
            </w:r>
          </w:p>
        </w:tc>
        <w:tc>
          <w:tcPr>
            <w:tcW w:w="3243" w:type="dxa"/>
            <w:noWrap w:val="0"/>
            <w:vAlign w:val="center"/>
          </w:tcPr>
          <w:p w14:paraId="7EDECA8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偏  离</w:t>
            </w:r>
          </w:p>
        </w:tc>
        <w:tc>
          <w:tcPr>
            <w:tcW w:w="4968" w:type="dxa"/>
            <w:noWrap w:val="0"/>
            <w:vAlign w:val="center"/>
          </w:tcPr>
          <w:p w14:paraId="667DE53A">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不允许</w:t>
            </w:r>
          </w:p>
        </w:tc>
      </w:tr>
      <w:tr w14:paraId="2E37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025" w:type="dxa"/>
            <w:shd w:val="clear" w:color="auto" w:fill="auto"/>
            <w:noWrap w:val="0"/>
            <w:vAlign w:val="center"/>
          </w:tcPr>
          <w:p w14:paraId="4A1C785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2.2.1</w:t>
            </w:r>
          </w:p>
        </w:tc>
        <w:tc>
          <w:tcPr>
            <w:tcW w:w="3243" w:type="dxa"/>
            <w:shd w:val="clear" w:color="auto" w:fill="auto"/>
            <w:noWrap w:val="0"/>
            <w:vAlign w:val="center"/>
          </w:tcPr>
          <w:p w14:paraId="1E32264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投标人要求澄清</w:t>
            </w:r>
          </w:p>
          <w:p w14:paraId="512BCF4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招标文件的截止时间</w:t>
            </w:r>
          </w:p>
        </w:tc>
        <w:tc>
          <w:tcPr>
            <w:tcW w:w="4968" w:type="dxa"/>
            <w:shd w:val="clear" w:color="auto" w:fill="auto"/>
            <w:noWrap w:val="0"/>
            <w:vAlign w:val="center"/>
          </w:tcPr>
          <w:p w14:paraId="5A90B278">
            <w:pPr>
              <w:adjustRightInd w:val="0"/>
              <w:snapToGrid w:val="0"/>
              <w:spacing w:line="400" w:lineRule="exact"/>
              <w:rPr>
                <w:rFonts w:ascii="宋体" w:hAnsi="宋体" w:cs="宋体"/>
                <w:color w:val="000000" w:themeColor="text1"/>
                <w:sz w:val="24"/>
                <w:szCs w:val="24"/>
                <w:highlight w:val="yellow"/>
                <w14:textFill>
                  <w14:solidFill>
                    <w14:schemeClr w14:val="tx1"/>
                  </w14:solidFill>
                </w14:textFill>
              </w:rPr>
            </w:pPr>
            <w:r>
              <w:rPr>
                <w:rFonts w:hint="eastAsia" w:ascii="宋体" w:hAnsi="宋体" w:cs="宋体"/>
                <w:color w:val="000000" w:themeColor="text1"/>
                <w:sz w:val="24"/>
                <w:szCs w:val="24"/>
                <w:highlight w:val="yellow"/>
                <w:u w:val="none"/>
                <w:lang w:val="en-US" w:eastAsia="zh-CN"/>
                <w14:textFill>
                  <w14:solidFill>
                    <w14:schemeClr w14:val="tx1"/>
                  </w14:solidFill>
                </w14:textFill>
              </w:rPr>
              <w:t>2026</w:t>
            </w:r>
            <w:r>
              <w:rPr>
                <w:rFonts w:hint="eastAsia" w:ascii="宋体" w:hAnsi="宋体" w:cs="宋体"/>
                <w:color w:val="000000" w:themeColor="text1"/>
                <w:sz w:val="24"/>
                <w:szCs w:val="24"/>
                <w:highlight w:val="yellow"/>
                <w:u w:val="none"/>
                <w14:textFill>
                  <w14:solidFill>
                    <w14:schemeClr w14:val="tx1"/>
                  </w14:solidFill>
                </w14:textFill>
              </w:rPr>
              <w:t>年</w:t>
            </w:r>
            <w:r>
              <w:rPr>
                <w:rFonts w:hint="eastAsia" w:ascii="宋体" w:hAnsi="宋体" w:cs="宋体"/>
                <w:color w:val="000000" w:themeColor="text1"/>
                <w:sz w:val="24"/>
                <w:szCs w:val="24"/>
                <w:highlight w:val="yellow"/>
                <w:u w:val="none"/>
                <w:lang w:val="en-US" w:eastAsia="zh-CN"/>
                <w14:textFill>
                  <w14:solidFill>
                    <w14:schemeClr w14:val="tx1"/>
                  </w14:solidFill>
                </w14:textFill>
              </w:rPr>
              <w:t>05</w:t>
            </w:r>
            <w:r>
              <w:rPr>
                <w:rFonts w:hint="eastAsia" w:ascii="宋体" w:hAnsi="宋体" w:cs="宋体"/>
                <w:color w:val="000000" w:themeColor="text1"/>
                <w:sz w:val="24"/>
                <w:szCs w:val="24"/>
                <w:highlight w:val="yellow"/>
                <w:u w:val="none"/>
                <w14:textFill>
                  <w14:solidFill>
                    <w14:schemeClr w14:val="tx1"/>
                  </w14:solidFill>
                </w14:textFill>
              </w:rPr>
              <w:t>月</w:t>
            </w:r>
            <w:r>
              <w:rPr>
                <w:rFonts w:hint="eastAsia" w:ascii="宋体" w:hAnsi="宋体" w:cs="宋体"/>
                <w:color w:val="000000" w:themeColor="text1"/>
                <w:sz w:val="24"/>
                <w:szCs w:val="24"/>
                <w:highlight w:val="yellow"/>
                <w:u w:val="none"/>
                <w:lang w:val="en-US" w:eastAsia="zh-CN"/>
                <w14:textFill>
                  <w14:solidFill>
                    <w14:schemeClr w14:val="tx1"/>
                  </w14:solidFill>
                </w14:textFill>
              </w:rPr>
              <w:t>18</w:t>
            </w:r>
            <w:r>
              <w:rPr>
                <w:rFonts w:hint="eastAsia" w:ascii="宋体" w:hAnsi="宋体" w:cs="宋体"/>
                <w:color w:val="000000" w:themeColor="text1"/>
                <w:sz w:val="24"/>
                <w:szCs w:val="24"/>
                <w:highlight w:val="yellow"/>
                <w:u w:val="none"/>
                <w14:textFill>
                  <w14:solidFill>
                    <w14:schemeClr w14:val="tx1"/>
                  </w14:solidFill>
                </w14:textFill>
              </w:rPr>
              <w:t>日</w:t>
            </w:r>
            <w:r>
              <w:rPr>
                <w:rFonts w:hint="eastAsia" w:ascii="宋体" w:hAnsi="宋体" w:cs="宋体"/>
                <w:color w:val="000000" w:themeColor="text1"/>
                <w:sz w:val="24"/>
                <w:szCs w:val="24"/>
                <w:highlight w:val="yellow"/>
                <w:u w:val="none"/>
                <w:lang w:val="en-US" w:eastAsia="zh-CN"/>
                <w14:textFill>
                  <w14:solidFill>
                    <w14:schemeClr w14:val="tx1"/>
                  </w14:solidFill>
                </w14:textFill>
              </w:rPr>
              <w:t xml:space="preserve"> 17 </w:t>
            </w:r>
            <w:r>
              <w:rPr>
                <w:rFonts w:hint="eastAsia" w:ascii="宋体" w:hAnsi="宋体" w:cs="宋体"/>
                <w:color w:val="000000" w:themeColor="text1"/>
                <w:sz w:val="24"/>
                <w:szCs w:val="24"/>
                <w:highlight w:val="yellow"/>
                <w:u w:val="none"/>
                <w14:textFill>
                  <w14:solidFill>
                    <w14:schemeClr w14:val="tx1"/>
                  </w14:solidFill>
                </w14:textFill>
              </w:rPr>
              <w:t>时</w:t>
            </w:r>
            <w:r>
              <w:rPr>
                <w:rFonts w:hint="eastAsia" w:ascii="宋体" w:hAnsi="宋体" w:cs="宋体"/>
                <w:color w:val="000000" w:themeColor="text1"/>
                <w:sz w:val="24"/>
                <w:szCs w:val="24"/>
                <w:highlight w:val="yellow"/>
                <w:u w:val="none"/>
                <w:lang w:val="en-US" w:eastAsia="zh-CN"/>
                <w14:textFill>
                  <w14:solidFill>
                    <w14:schemeClr w14:val="tx1"/>
                  </w14:solidFill>
                </w14:textFill>
              </w:rPr>
              <w:t xml:space="preserve"> 30 </w:t>
            </w:r>
            <w:r>
              <w:rPr>
                <w:rFonts w:hint="eastAsia" w:ascii="宋体" w:hAnsi="宋体" w:cs="宋体"/>
                <w:color w:val="000000" w:themeColor="text1"/>
                <w:sz w:val="24"/>
                <w:szCs w:val="24"/>
                <w:highlight w:val="yellow"/>
                <w:u w:val="none"/>
                <w14:textFill>
                  <w14:solidFill>
                    <w14:schemeClr w14:val="tx1"/>
                  </w14:solidFill>
                </w14:textFill>
              </w:rPr>
              <w:t>分</w:t>
            </w:r>
          </w:p>
        </w:tc>
      </w:tr>
      <w:tr w14:paraId="3D5AF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025" w:type="dxa"/>
            <w:shd w:val="clear" w:color="auto" w:fill="auto"/>
            <w:noWrap w:val="0"/>
            <w:vAlign w:val="center"/>
          </w:tcPr>
          <w:p w14:paraId="4D802CC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2.2.2</w:t>
            </w:r>
          </w:p>
        </w:tc>
        <w:tc>
          <w:tcPr>
            <w:tcW w:w="3243" w:type="dxa"/>
            <w:shd w:val="clear" w:color="auto" w:fill="auto"/>
            <w:noWrap w:val="0"/>
            <w:vAlign w:val="center"/>
          </w:tcPr>
          <w:p w14:paraId="67B0C8A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招标文件澄清发布时间</w:t>
            </w:r>
          </w:p>
        </w:tc>
        <w:tc>
          <w:tcPr>
            <w:tcW w:w="4968" w:type="dxa"/>
            <w:shd w:val="clear" w:color="auto" w:fill="auto"/>
            <w:noWrap w:val="0"/>
            <w:vAlign w:val="center"/>
          </w:tcPr>
          <w:p w14:paraId="4247BB26">
            <w:pPr>
              <w:adjustRightInd w:val="0"/>
              <w:snapToGrid w:val="0"/>
              <w:spacing w:line="400" w:lineRule="exact"/>
              <w:rPr>
                <w:rFonts w:ascii="宋体" w:hAnsi="宋体" w:cs="宋体"/>
                <w:color w:val="000000" w:themeColor="text1"/>
                <w:sz w:val="24"/>
                <w:szCs w:val="24"/>
                <w:highlight w:val="yellow"/>
                <w14:textFill>
                  <w14:solidFill>
                    <w14:schemeClr w14:val="tx1"/>
                  </w14:solidFill>
                </w14:textFill>
              </w:rPr>
            </w:pPr>
            <w:r>
              <w:rPr>
                <w:rFonts w:hint="eastAsia" w:ascii="宋体" w:hAnsi="宋体" w:cs="宋体"/>
                <w:color w:val="000000" w:themeColor="text1"/>
                <w:sz w:val="24"/>
                <w:szCs w:val="24"/>
                <w:highlight w:val="yellow"/>
                <w:u w:val="none"/>
                <w:lang w:val="en-US" w:eastAsia="zh-CN"/>
                <w14:textFill>
                  <w14:solidFill>
                    <w14:schemeClr w14:val="tx1"/>
                  </w14:solidFill>
                </w14:textFill>
              </w:rPr>
              <w:t>2026</w:t>
            </w:r>
            <w:r>
              <w:rPr>
                <w:rFonts w:hint="eastAsia" w:ascii="宋体" w:hAnsi="宋体" w:cs="宋体"/>
                <w:color w:val="000000" w:themeColor="text1"/>
                <w:sz w:val="24"/>
                <w:szCs w:val="24"/>
                <w:highlight w:val="yellow"/>
                <w:u w:val="none"/>
                <w14:textFill>
                  <w14:solidFill>
                    <w14:schemeClr w14:val="tx1"/>
                  </w14:solidFill>
                </w14:textFill>
              </w:rPr>
              <w:t>年</w:t>
            </w:r>
            <w:r>
              <w:rPr>
                <w:rFonts w:hint="eastAsia" w:ascii="宋体" w:hAnsi="宋体" w:cs="宋体"/>
                <w:color w:val="000000" w:themeColor="text1"/>
                <w:sz w:val="24"/>
                <w:szCs w:val="24"/>
                <w:highlight w:val="yellow"/>
                <w:u w:val="none"/>
                <w:lang w:val="en-US" w:eastAsia="zh-CN"/>
                <w14:textFill>
                  <w14:solidFill>
                    <w14:schemeClr w14:val="tx1"/>
                  </w14:solidFill>
                </w14:textFill>
              </w:rPr>
              <w:t>05</w:t>
            </w:r>
            <w:r>
              <w:rPr>
                <w:rFonts w:hint="eastAsia" w:ascii="宋体" w:hAnsi="宋体" w:cs="宋体"/>
                <w:color w:val="000000" w:themeColor="text1"/>
                <w:sz w:val="24"/>
                <w:szCs w:val="24"/>
                <w:highlight w:val="yellow"/>
                <w:u w:val="none"/>
                <w14:textFill>
                  <w14:solidFill>
                    <w14:schemeClr w14:val="tx1"/>
                  </w14:solidFill>
                </w14:textFill>
              </w:rPr>
              <w:t>月</w:t>
            </w:r>
            <w:r>
              <w:rPr>
                <w:rFonts w:hint="eastAsia" w:ascii="宋体" w:hAnsi="宋体" w:cs="宋体"/>
                <w:color w:val="000000" w:themeColor="text1"/>
                <w:sz w:val="24"/>
                <w:szCs w:val="24"/>
                <w:highlight w:val="yellow"/>
                <w:u w:val="none"/>
                <w:lang w:val="en-US" w:eastAsia="zh-CN"/>
                <w14:textFill>
                  <w14:solidFill>
                    <w14:schemeClr w14:val="tx1"/>
                  </w14:solidFill>
                </w14:textFill>
              </w:rPr>
              <w:t>18</w:t>
            </w:r>
            <w:r>
              <w:rPr>
                <w:rFonts w:hint="eastAsia" w:ascii="宋体" w:hAnsi="宋体" w:cs="宋体"/>
                <w:color w:val="000000" w:themeColor="text1"/>
                <w:sz w:val="24"/>
                <w:szCs w:val="24"/>
                <w:highlight w:val="yellow"/>
                <w:u w:val="none"/>
                <w14:textFill>
                  <w14:solidFill>
                    <w14:schemeClr w14:val="tx1"/>
                  </w14:solidFill>
                </w14:textFill>
              </w:rPr>
              <w:t>日</w:t>
            </w:r>
            <w:r>
              <w:rPr>
                <w:rFonts w:hint="eastAsia" w:ascii="宋体" w:hAnsi="宋体" w:cs="宋体"/>
                <w:color w:val="000000" w:themeColor="text1"/>
                <w:sz w:val="24"/>
                <w:szCs w:val="24"/>
                <w:highlight w:val="yellow"/>
                <w:u w:val="none"/>
                <w:lang w:val="en-US" w:eastAsia="zh-CN"/>
                <w14:textFill>
                  <w14:solidFill>
                    <w14:schemeClr w14:val="tx1"/>
                  </w14:solidFill>
                </w14:textFill>
              </w:rPr>
              <w:t xml:space="preserve"> 17 </w:t>
            </w:r>
            <w:r>
              <w:rPr>
                <w:rFonts w:hint="eastAsia" w:ascii="宋体" w:hAnsi="宋体" w:cs="宋体"/>
                <w:color w:val="000000" w:themeColor="text1"/>
                <w:sz w:val="24"/>
                <w:szCs w:val="24"/>
                <w:highlight w:val="yellow"/>
                <w:u w:val="none"/>
                <w14:textFill>
                  <w14:solidFill>
                    <w14:schemeClr w14:val="tx1"/>
                  </w14:solidFill>
                </w14:textFill>
              </w:rPr>
              <w:t>时</w:t>
            </w:r>
            <w:r>
              <w:rPr>
                <w:rFonts w:hint="eastAsia" w:ascii="宋体" w:hAnsi="宋体" w:cs="宋体"/>
                <w:color w:val="000000" w:themeColor="text1"/>
                <w:sz w:val="24"/>
                <w:szCs w:val="24"/>
                <w:highlight w:val="yellow"/>
                <w:u w:val="none"/>
                <w:lang w:val="en-US" w:eastAsia="zh-CN"/>
                <w14:textFill>
                  <w14:solidFill>
                    <w14:schemeClr w14:val="tx1"/>
                  </w14:solidFill>
                </w14:textFill>
              </w:rPr>
              <w:t xml:space="preserve"> 30 </w:t>
            </w:r>
            <w:r>
              <w:rPr>
                <w:rFonts w:hint="eastAsia" w:ascii="宋体" w:hAnsi="宋体" w:cs="宋体"/>
                <w:color w:val="000000" w:themeColor="text1"/>
                <w:sz w:val="24"/>
                <w:szCs w:val="24"/>
                <w:highlight w:val="yellow"/>
                <w:u w:val="none"/>
                <w14:textFill>
                  <w14:solidFill>
                    <w14:schemeClr w14:val="tx1"/>
                  </w14:solidFill>
                </w14:textFill>
              </w:rPr>
              <w:t>分</w:t>
            </w:r>
          </w:p>
        </w:tc>
      </w:tr>
      <w:tr w14:paraId="7A71A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25" w:type="dxa"/>
            <w:noWrap w:val="0"/>
            <w:vAlign w:val="center"/>
          </w:tcPr>
          <w:p w14:paraId="36D9CFD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2.4</w:t>
            </w:r>
          </w:p>
        </w:tc>
        <w:tc>
          <w:tcPr>
            <w:tcW w:w="3243" w:type="dxa"/>
            <w:noWrap w:val="0"/>
            <w:vAlign w:val="center"/>
          </w:tcPr>
          <w:p w14:paraId="1E1DE0A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招标控制价</w:t>
            </w:r>
          </w:p>
        </w:tc>
        <w:tc>
          <w:tcPr>
            <w:tcW w:w="4968" w:type="dxa"/>
            <w:noWrap w:val="0"/>
            <w:vAlign w:val="center"/>
          </w:tcPr>
          <w:p w14:paraId="7C4F61EB">
            <w:pPr>
              <w:keepNext w:val="0"/>
              <w:keepLines w:val="0"/>
              <w:widowControl/>
              <w:suppressLineNumbers w:val="0"/>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招标控制价：</w:t>
            </w:r>
            <w:r>
              <w:rPr>
                <w:rFonts w:hint="eastAsia" w:ascii="宋体" w:hAnsi="宋体" w:cs="宋体"/>
                <w:color w:val="000000" w:themeColor="text1"/>
                <w:spacing w:val="-2"/>
                <w:sz w:val="24"/>
                <w:highlight w:val="none"/>
                <w:lang w:eastAsia="zh-CN"/>
                <w14:textFill>
                  <w14:solidFill>
                    <w14:schemeClr w14:val="tx1"/>
                  </w14:solidFill>
                </w14:textFill>
              </w:rPr>
              <w:t>292643.94</w:t>
            </w:r>
            <w:r>
              <w:rPr>
                <w:rFonts w:hint="eastAsia" w:ascii="宋体" w:hAnsi="宋体" w:cs="宋体"/>
                <w:color w:val="000000" w:themeColor="text1"/>
                <w:sz w:val="24"/>
                <w:szCs w:val="24"/>
                <w:highlight w:val="none"/>
                <w14:textFill>
                  <w14:solidFill>
                    <w14:schemeClr w14:val="tx1"/>
                  </w14:solidFill>
                </w14:textFill>
              </w:rPr>
              <w:t>元</w:t>
            </w:r>
          </w:p>
        </w:tc>
      </w:tr>
      <w:tr w14:paraId="0BD8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025" w:type="dxa"/>
            <w:noWrap w:val="0"/>
            <w:vAlign w:val="center"/>
          </w:tcPr>
          <w:p w14:paraId="3E050C49">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2.4.1</w:t>
            </w:r>
          </w:p>
        </w:tc>
        <w:tc>
          <w:tcPr>
            <w:tcW w:w="3243" w:type="dxa"/>
            <w:noWrap w:val="0"/>
            <w:vAlign w:val="center"/>
          </w:tcPr>
          <w:p w14:paraId="1716973D">
            <w:pPr>
              <w:adjustRightInd w:val="0"/>
              <w:snapToGrid w:val="0"/>
              <w:spacing w:line="400" w:lineRule="exact"/>
              <w:jc w:val="center"/>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暂估价</w:t>
            </w:r>
          </w:p>
        </w:tc>
        <w:tc>
          <w:tcPr>
            <w:tcW w:w="4968" w:type="dxa"/>
            <w:noWrap w:val="0"/>
            <w:vAlign w:val="center"/>
          </w:tcPr>
          <w:p w14:paraId="4B1277D0">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Segoe UI Emoji" w:hAnsi="Segoe UI Emoji" w:cs="Segoe UI Emoji"/>
                <w:color w:val="000000" w:themeColor="text1"/>
                <w:sz w:val="24"/>
                <w:szCs w:val="24"/>
                <w:highlight w:val="none"/>
                <w:lang w:eastAsia="zh-CN"/>
                <w14:textFill>
                  <w14:solidFill>
                    <w14:schemeClr w14:val="tx1"/>
                  </w14:solidFill>
                </w14:textFill>
              </w:rPr>
              <w:sym w:font="Wingdings 2" w:char="0052"/>
            </w:r>
            <w:r>
              <w:rPr>
                <w:rFonts w:hint="eastAsia" w:ascii="宋体" w:hAnsi="宋体"/>
                <w:color w:val="000000" w:themeColor="text1"/>
                <w:sz w:val="24"/>
                <w:szCs w:val="24"/>
                <w:highlight w:val="none"/>
                <w14:textFill>
                  <w14:solidFill>
                    <w14:schemeClr w14:val="tx1"/>
                  </w14:solidFill>
                </w14:textFill>
              </w:rPr>
              <w:t>不设暂估价</w:t>
            </w:r>
          </w:p>
          <w:p w14:paraId="0DC80DA7">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sym w:font="Wingdings 2" w:char="00A3"/>
            </w:r>
            <w:r>
              <w:rPr>
                <w:rFonts w:hint="eastAsia" w:ascii="宋体" w:hAnsi="宋体"/>
                <w:color w:val="000000" w:themeColor="text1"/>
                <w:sz w:val="24"/>
                <w:szCs w:val="24"/>
                <w:highlight w:val="none"/>
                <w14:textFill>
                  <w14:solidFill>
                    <w14:schemeClr w14:val="tx1"/>
                  </w14:solidFill>
                </w14:textFill>
              </w:rPr>
              <w:t>设暂估价</w:t>
            </w:r>
          </w:p>
          <w:p w14:paraId="3409D700">
            <w:pPr>
              <w:adjustRightInd w:val="0"/>
              <w:snapToGrid w:val="0"/>
              <w:spacing w:line="400" w:lineRule="exact"/>
              <w:ind w:left="105" w:leftChars="50" w:firstLine="120" w:firstLineChars="5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招标人预算价中的材料暂估价</w:t>
            </w:r>
            <w:r>
              <w:rPr>
                <w:rFonts w:hint="eastAsia" w:ascii="宋体" w:hAnsi="宋体"/>
                <w:color w:val="000000" w:themeColor="text1"/>
                <w:sz w:val="24"/>
                <w:szCs w:val="24"/>
                <w:highlight w:val="none"/>
                <w:u w:val="single"/>
                <w14:textFill>
                  <w14:solidFill>
                    <w14:schemeClr w14:val="tx1"/>
                  </w14:solidFill>
                </w14:textFill>
              </w:rPr>
              <w:t xml:space="preserve">  /  </w:t>
            </w:r>
            <w:r>
              <w:rPr>
                <w:rFonts w:hint="eastAsia" w:ascii="宋体" w:hAnsi="宋体"/>
                <w:color w:val="000000" w:themeColor="text1"/>
                <w:sz w:val="24"/>
                <w:szCs w:val="24"/>
                <w:highlight w:val="none"/>
                <w14:textFill>
                  <w14:solidFill>
                    <w14:schemeClr w14:val="tx1"/>
                  </w14:solidFill>
                </w14:textFill>
              </w:rPr>
              <w:t>元，暂列金额</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color w:val="000000" w:themeColor="text1"/>
                <w:sz w:val="24"/>
                <w:szCs w:val="24"/>
                <w:highlight w:val="none"/>
                <w14:textFill>
                  <w14:solidFill>
                    <w14:schemeClr w14:val="tx1"/>
                  </w14:solidFill>
                </w14:textFill>
              </w:rPr>
              <w:t>元，专业工程暂估价</w:t>
            </w:r>
            <w:r>
              <w:rPr>
                <w:rFonts w:hint="eastAsia" w:ascii="宋体" w:hAnsi="宋体"/>
                <w:color w:val="000000" w:themeColor="text1"/>
                <w:sz w:val="24"/>
                <w:szCs w:val="24"/>
                <w:highlight w:val="none"/>
                <w:u w:val="single"/>
                <w14:textFill>
                  <w14:solidFill>
                    <w14:schemeClr w14:val="tx1"/>
                  </w14:solidFill>
                </w14:textFill>
              </w:rPr>
              <w:t xml:space="preserve">  /  </w:t>
            </w:r>
            <w:r>
              <w:rPr>
                <w:rFonts w:hint="eastAsia" w:ascii="宋体" w:hAnsi="宋体"/>
                <w:color w:val="000000" w:themeColor="text1"/>
                <w:sz w:val="24"/>
                <w:szCs w:val="24"/>
                <w:highlight w:val="none"/>
                <w14:textFill>
                  <w14:solidFill>
                    <w14:schemeClr w14:val="tx1"/>
                  </w14:solidFill>
                </w14:textFill>
              </w:rPr>
              <w:t>元，均不含规费、税金。</w:t>
            </w:r>
          </w:p>
          <w:p w14:paraId="5B06A828">
            <w:pPr>
              <w:adjustRightInd w:val="0"/>
              <w:snapToGrid w:val="0"/>
              <w:spacing w:line="400" w:lineRule="exact"/>
              <w:ind w:firstLine="240" w:firstLineChars="1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暂估价发包方式： 详见建设工程施工合同通用条款、专用条款</w:t>
            </w:r>
          </w:p>
        </w:tc>
      </w:tr>
      <w:tr w14:paraId="28D9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025" w:type="dxa"/>
            <w:noWrap w:val="0"/>
            <w:vAlign w:val="center"/>
          </w:tcPr>
          <w:p w14:paraId="71E4F7E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3.1.1</w:t>
            </w:r>
          </w:p>
        </w:tc>
        <w:tc>
          <w:tcPr>
            <w:tcW w:w="3243" w:type="dxa"/>
            <w:noWrap w:val="0"/>
            <w:vAlign w:val="center"/>
          </w:tcPr>
          <w:p w14:paraId="5EC4CD4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构成投标文件的材料</w:t>
            </w:r>
          </w:p>
        </w:tc>
        <w:tc>
          <w:tcPr>
            <w:tcW w:w="4968" w:type="dxa"/>
            <w:noWrap w:val="0"/>
            <w:vAlign w:val="center"/>
          </w:tcPr>
          <w:p w14:paraId="6248D749">
            <w:pPr>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详见投标人须知3.1.1条</w:t>
            </w:r>
          </w:p>
        </w:tc>
      </w:tr>
      <w:tr w14:paraId="49F1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707870F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3.3.1</w:t>
            </w:r>
          </w:p>
        </w:tc>
        <w:tc>
          <w:tcPr>
            <w:tcW w:w="3243" w:type="dxa"/>
            <w:noWrap w:val="0"/>
            <w:vAlign w:val="center"/>
          </w:tcPr>
          <w:p w14:paraId="336A3F4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投标有效期</w:t>
            </w:r>
          </w:p>
        </w:tc>
        <w:tc>
          <w:tcPr>
            <w:tcW w:w="4968" w:type="dxa"/>
            <w:noWrap w:val="0"/>
            <w:vAlign w:val="center"/>
          </w:tcPr>
          <w:p w14:paraId="2917AF74">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投标截止日后</w:t>
            </w:r>
            <w:r>
              <w:rPr>
                <w:rFonts w:hint="eastAsia" w:ascii="宋体" w:hAnsi="宋体" w:cs="宋体"/>
                <w:color w:val="000000" w:themeColor="text1"/>
                <w:sz w:val="24"/>
                <w:szCs w:val="24"/>
                <w:highlight w:val="none"/>
                <w:u w:val="single"/>
                <w14:textFill>
                  <w14:solidFill>
                    <w14:schemeClr w14:val="tx1"/>
                  </w14:solidFill>
                </w14:textFill>
              </w:rPr>
              <w:t>60</w:t>
            </w:r>
            <w:r>
              <w:rPr>
                <w:rFonts w:hint="eastAsia" w:ascii="宋体" w:hAnsi="宋体" w:cs="宋体"/>
                <w:color w:val="000000" w:themeColor="text1"/>
                <w:sz w:val="24"/>
                <w:szCs w:val="24"/>
                <w:highlight w:val="none"/>
                <w14:textFill>
                  <w14:solidFill>
                    <w14:schemeClr w14:val="tx1"/>
                  </w14:solidFill>
                </w14:textFill>
              </w:rPr>
              <w:t xml:space="preserve">日历天 </w:t>
            </w:r>
          </w:p>
        </w:tc>
      </w:tr>
      <w:tr w14:paraId="5E0E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6034011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3.2.3</w:t>
            </w:r>
          </w:p>
        </w:tc>
        <w:tc>
          <w:tcPr>
            <w:tcW w:w="3243" w:type="dxa"/>
            <w:noWrap w:val="0"/>
            <w:vAlign w:val="center"/>
          </w:tcPr>
          <w:p w14:paraId="0F93E4B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合同价格形式</w:t>
            </w:r>
          </w:p>
        </w:tc>
        <w:tc>
          <w:tcPr>
            <w:tcW w:w="4968" w:type="dxa"/>
            <w:noWrap w:val="0"/>
            <w:vAlign w:val="center"/>
          </w:tcPr>
          <w:p w14:paraId="7C345FB0">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单价合同</w:t>
            </w:r>
          </w:p>
        </w:tc>
      </w:tr>
      <w:tr w14:paraId="341A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025" w:type="dxa"/>
            <w:noWrap w:val="0"/>
            <w:vAlign w:val="center"/>
          </w:tcPr>
          <w:p w14:paraId="357AF48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3.4.1</w:t>
            </w:r>
          </w:p>
        </w:tc>
        <w:tc>
          <w:tcPr>
            <w:tcW w:w="3243" w:type="dxa"/>
            <w:noWrap w:val="0"/>
            <w:vAlign w:val="center"/>
          </w:tcPr>
          <w:p w14:paraId="36D7CA0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投标保证金递交</w:t>
            </w:r>
          </w:p>
        </w:tc>
        <w:tc>
          <w:tcPr>
            <w:tcW w:w="4968" w:type="dxa"/>
            <w:noWrap w:val="0"/>
            <w:vAlign w:val="center"/>
          </w:tcPr>
          <w:p w14:paraId="6F127126">
            <w:pPr>
              <w:adjustRightInd w:val="0"/>
              <w:snapToGrid w:val="0"/>
              <w:spacing w:line="400" w:lineRule="exact"/>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color w:val="000000" w:themeColor="text1"/>
                <w:sz w:val="24"/>
                <w:szCs w:val="24"/>
                <w:highlight w:val="none"/>
                <w:u w:val="single"/>
                <w:lang w:val="en-US" w:eastAsia="zh-CN"/>
                <w14:textFill>
                  <w14:solidFill>
                    <w14:schemeClr w14:val="tx1"/>
                  </w14:solidFill>
                </w14:textFill>
              </w:rPr>
              <w:t>伍仟元整</w:t>
            </w:r>
          </w:p>
        </w:tc>
      </w:tr>
      <w:tr w14:paraId="6BAAA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25" w:type="dxa"/>
            <w:noWrap w:val="0"/>
            <w:vAlign w:val="center"/>
          </w:tcPr>
          <w:p w14:paraId="417B4979">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3.5</w:t>
            </w:r>
          </w:p>
        </w:tc>
        <w:tc>
          <w:tcPr>
            <w:tcW w:w="3243" w:type="dxa"/>
            <w:noWrap w:val="0"/>
            <w:vAlign w:val="center"/>
          </w:tcPr>
          <w:p w14:paraId="28D723B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是否允许递交备选投标方案</w:t>
            </w:r>
          </w:p>
        </w:tc>
        <w:tc>
          <w:tcPr>
            <w:tcW w:w="4968" w:type="dxa"/>
            <w:noWrap w:val="0"/>
            <w:vAlign w:val="center"/>
          </w:tcPr>
          <w:p w14:paraId="60482F8C">
            <w:pPr>
              <w:adjustRightInd w:val="0"/>
              <w:snapToGrid w:val="0"/>
              <w:spacing w:line="400" w:lineRule="exact"/>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不允许</w:t>
            </w:r>
          </w:p>
        </w:tc>
      </w:tr>
      <w:tr w14:paraId="3971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25" w:type="dxa"/>
            <w:shd w:val="clear" w:color="auto" w:fill="auto"/>
            <w:noWrap w:val="0"/>
            <w:vAlign w:val="center"/>
          </w:tcPr>
          <w:p w14:paraId="71C88C5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4.2.1</w:t>
            </w:r>
          </w:p>
        </w:tc>
        <w:tc>
          <w:tcPr>
            <w:tcW w:w="3243" w:type="dxa"/>
            <w:shd w:val="clear" w:color="auto" w:fill="auto"/>
            <w:noWrap w:val="0"/>
            <w:vAlign w:val="center"/>
          </w:tcPr>
          <w:p w14:paraId="59B501D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投标截止时间</w:t>
            </w:r>
          </w:p>
        </w:tc>
        <w:tc>
          <w:tcPr>
            <w:tcW w:w="4968" w:type="dxa"/>
            <w:shd w:val="clear" w:color="auto" w:fill="auto"/>
            <w:noWrap w:val="0"/>
            <w:vAlign w:val="center"/>
          </w:tcPr>
          <w:p w14:paraId="630A769E">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u w:val="none"/>
                <w:lang w:val="en-US" w:eastAsia="zh-CN"/>
                <w14:textFill>
                  <w14:solidFill>
                    <w14:schemeClr w14:val="tx1"/>
                  </w14:solidFill>
                </w14:textFill>
              </w:rPr>
              <w:t>20</w:t>
            </w:r>
            <w:r>
              <w:rPr>
                <w:rFonts w:hint="eastAsia" w:ascii="宋体" w:hAnsi="宋体" w:cs="宋体"/>
                <w:color w:val="000000" w:themeColor="text1"/>
                <w:sz w:val="24"/>
                <w:szCs w:val="24"/>
                <w:highlight w:val="yellow"/>
                <w:u w:val="none"/>
                <w:lang w:val="en-US" w:eastAsia="zh-CN"/>
                <w14:textFill>
                  <w14:solidFill>
                    <w14:schemeClr w14:val="tx1"/>
                  </w14:solidFill>
                </w14:textFill>
              </w:rPr>
              <w:t>26年05月27日09时30分</w:t>
            </w:r>
          </w:p>
        </w:tc>
      </w:tr>
      <w:tr w14:paraId="3B7A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025" w:type="dxa"/>
            <w:shd w:val="clear" w:color="auto" w:fill="auto"/>
            <w:noWrap w:val="0"/>
            <w:vAlign w:val="center"/>
          </w:tcPr>
          <w:p w14:paraId="65346D7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4.2.2</w:t>
            </w:r>
          </w:p>
        </w:tc>
        <w:tc>
          <w:tcPr>
            <w:tcW w:w="3243" w:type="dxa"/>
            <w:shd w:val="clear" w:color="auto" w:fill="auto"/>
            <w:noWrap w:val="0"/>
            <w:vAlign w:val="center"/>
          </w:tcPr>
          <w:p w14:paraId="1612D73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递交投标文件地点</w:t>
            </w:r>
          </w:p>
        </w:tc>
        <w:tc>
          <w:tcPr>
            <w:tcW w:w="4968" w:type="dxa"/>
            <w:shd w:val="clear" w:color="auto" w:fill="auto"/>
            <w:noWrap w:val="0"/>
            <w:vAlign w:val="center"/>
          </w:tcPr>
          <w:p w14:paraId="6B80D79B">
            <w:pPr>
              <w:spacing w:before="78" w:after="78" w:line="420" w:lineRule="exact"/>
              <w:textAlignment w:val="baseline"/>
              <w:rPr>
                <w:rFonts w:hint="default" w:ascii="宋体" w:hAnsi="宋体" w:cs="宋体"/>
                <w:b w:val="0"/>
                <w:bCs w:val="0"/>
                <w:color w:val="000000" w:themeColor="text1"/>
                <w:sz w:val="24"/>
                <w:szCs w:val="24"/>
                <w:highlight w:val="none"/>
                <w:lang w:val="en-US"/>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网上开标，腾讯会议号：</w:t>
            </w:r>
            <w:r>
              <w:rPr>
                <w:rFonts w:hint="eastAsia" w:ascii="宋体" w:hAnsi="宋体" w:cs="宋体"/>
                <w:b w:val="0"/>
                <w:bCs w:val="0"/>
                <w:color w:val="000000" w:themeColor="text1"/>
                <w:sz w:val="24"/>
                <w:szCs w:val="24"/>
                <w:highlight w:val="yellow"/>
                <w:u w:val="single"/>
                <w14:textFill>
                  <w14:solidFill>
                    <w14:schemeClr w14:val="tx1"/>
                  </w14:solidFill>
                </w14:textFill>
              </w:rPr>
              <w:t>561-490-530</w:t>
            </w:r>
          </w:p>
        </w:tc>
      </w:tr>
      <w:tr w14:paraId="212D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shd w:val="clear" w:color="auto" w:fill="auto"/>
            <w:noWrap w:val="0"/>
            <w:vAlign w:val="center"/>
          </w:tcPr>
          <w:p w14:paraId="451604C9">
            <w:pPr>
              <w:adjustRightInd w:val="0"/>
              <w:snapToGrid w:val="0"/>
              <w:spacing w:line="400" w:lineRule="exact"/>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4.2.3</w:t>
            </w:r>
          </w:p>
        </w:tc>
        <w:tc>
          <w:tcPr>
            <w:tcW w:w="3243" w:type="dxa"/>
            <w:shd w:val="clear" w:color="auto" w:fill="auto"/>
            <w:noWrap w:val="0"/>
            <w:vAlign w:val="center"/>
          </w:tcPr>
          <w:p w14:paraId="46CA0FAF">
            <w:pPr>
              <w:adjustRightInd w:val="0"/>
              <w:snapToGrid w:val="0"/>
              <w:spacing w:line="400" w:lineRule="exact"/>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递交投标文件</w:t>
            </w:r>
            <w:r>
              <w:rPr>
                <w:rFonts w:hint="eastAsia" w:ascii="宋体" w:hAnsi="宋体" w:cs="宋体"/>
                <w:color w:val="000000" w:themeColor="text1"/>
                <w:sz w:val="24"/>
                <w:szCs w:val="24"/>
                <w:highlight w:val="none"/>
                <w:lang w:val="en-US" w:eastAsia="zh-CN"/>
                <w14:textFill>
                  <w14:solidFill>
                    <w14:schemeClr w14:val="tx1"/>
                  </w14:solidFill>
                </w14:textFill>
              </w:rPr>
              <w:t>时间</w:t>
            </w:r>
          </w:p>
        </w:tc>
        <w:tc>
          <w:tcPr>
            <w:tcW w:w="4968" w:type="dxa"/>
            <w:shd w:val="clear" w:color="auto" w:fill="auto"/>
            <w:noWrap w:val="0"/>
            <w:vAlign w:val="center"/>
          </w:tcPr>
          <w:p w14:paraId="0645C531">
            <w:pPr>
              <w:adjustRightInd w:val="0"/>
              <w:snapToGrid w:val="0"/>
              <w:spacing w:line="400" w:lineRule="exact"/>
              <w:rPr>
                <w:rFonts w:hint="eastAsia" w:ascii="宋体" w:hAnsi="宋体" w:cs="宋体"/>
                <w:b/>
                <w:bCs/>
                <w:color w:val="000000" w:themeColor="text1"/>
                <w:sz w:val="24"/>
                <w:szCs w:val="24"/>
                <w:highlight w:val="none"/>
                <w:u w:val="none"/>
                <w14:textFill>
                  <w14:solidFill>
                    <w14:schemeClr w14:val="tx1"/>
                  </w14:solidFill>
                </w14:textFill>
              </w:rPr>
            </w:pPr>
            <w:r>
              <w:rPr>
                <w:rFonts w:hint="eastAsia" w:ascii="宋体" w:hAnsi="宋体" w:cs="宋体"/>
                <w:color w:val="000000" w:themeColor="text1"/>
                <w:sz w:val="24"/>
                <w:szCs w:val="24"/>
                <w:highlight w:val="none"/>
                <w:u w:val="none"/>
                <w:lang w:val="en-US" w:eastAsia="zh-CN"/>
                <w14:textFill>
                  <w14:solidFill>
                    <w14:schemeClr w14:val="tx1"/>
                  </w14:solidFill>
                </w14:textFill>
              </w:rPr>
              <w:t>20</w:t>
            </w:r>
            <w:r>
              <w:rPr>
                <w:rFonts w:hint="eastAsia" w:ascii="宋体" w:hAnsi="宋体" w:cs="宋体"/>
                <w:color w:val="000000" w:themeColor="text1"/>
                <w:sz w:val="24"/>
                <w:szCs w:val="24"/>
                <w:highlight w:val="yellow"/>
                <w:u w:val="none"/>
                <w:lang w:val="en-US" w:eastAsia="zh-CN"/>
                <w14:textFill>
                  <w14:solidFill>
                    <w14:schemeClr w14:val="tx1"/>
                  </w14:solidFill>
                </w14:textFill>
              </w:rPr>
              <w:t>26年05月27日09时30分</w:t>
            </w:r>
          </w:p>
        </w:tc>
      </w:tr>
      <w:tr w14:paraId="65E4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025" w:type="dxa"/>
            <w:noWrap w:val="0"/>
            <w:vAlign w:val="center"/>
          </w:tcPr>
          <w:p w14:paraId="2FE7958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5.1.1</w:t>
            </w:r>
          </w:p>
        </w:tc>
        <w:tc>
          <w:tcPr>
            <w:tcW w:w="3243" w:type="dxa"/>
            <w:noWrap w:val="0"/>
            <w:vAlign w:val="center"/>
          </w:tcPr>
          <w:p w14:paraId="6ED5BBE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开标时间和地点</w:t>
            </w:r>
          </w:p>
        </w:tc>
        <w:tc>
          <w:tcPr>
            <w:tcW w:w="4968" w:type="dxa"/>
            <w:noWrap w:val="0"/>
            <w:vAlign w:val="center"/>
          </w:tcPr>
          <w:p w14:paraId="06066CF1">
            <w:pPr>
              <w:adjustRightInd w:val="0"/>
              <w:snapToGrid w:val="0"/>
              <w:spacing w:line="400" w:lineRule="exact"/>
              <w:rPr>
                <w:rFonts w:hint="default" w:ascii="宋体" w:hAnsi="宋体" w:cs="宋体"/>
                <w:b/>
                <w:bCs/>
                <w:color w:val="000000" w:themeColor="text1"/>
                <w:sz w:val="24"/>
                <w:szCs w:val="24"/>
                <w:highlight w:val="yellow"/>
                <w:lang w:val="en-US" w:eastAsia="zh-CN"/>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开标时间：</w:t>
            </w:r>
            <w:r>
              <w:rPr>
                <w:rFonts w:hint="eastAsia" w:ascii="宋体" w:hAnsi="宋体" w:cs="宋体"/>
                <w:b/>
                <w:bCs/>
                <w:color w:val="000000" w:themeColor="text1"/>
                <w:sz w:val="24"/>
                <w:szCs w:val="24"/>
                <w:highlight w:val="yellow"/>
                <w:u w:val="none"/>
                <w:lang w:val="en-US" w:eastAsia="zh-CN"/>
                <w14:textFill>
                  <w14:solidFill>
                    <w14:schemeClr w14:val="tx1"/>
                  </w14:solidFill>
                </w14:textFill>
              </w:rPr>
              <w:t>2026年05月27日09时30分</w:t>
            </w:r>
          </w:p>
          <w:p w14:paraId="2E1A0DD6">
            <w:pPr>
              <w:pStyle w:val="14"/>
              <w:keepNext w:val="0"/>
              <w:keepLines w:val="0"/>
              <w:widowControl/>
              <w:suppressLineNumbers w:val="0"/>
              <w:spacing w:before="0" w:beforeAutospacing="0" w:after="0" w:afterAutospacing="0"/>
              <w:ind w:left="0" w:right="0" w:firstLine="0"/>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yellow"/>
                <w14:textFill>
                  <w14:solidFill>
                    <w14:schemeClr w14:val="tx1"/>
                  </w14:solidFill>
                </w14:textFill>
              </w:rPr>
              <w:t>开标地点</w:t>
            </w:r>
            <w:r>
              <w:rPr>
                <w:rFonts w:hint="eastAsia" w:ascii="宋体" w:hAnsi="宋体" w:cs="宋体"/>
                <w:b/>
                <w:bCs/>
                <w:color w:val="000000" w:themeColor="text1"/>
                <w:sz w:val="24"/>
                <w:szCs w:val="24"/>
                <w:highlight w:val="yellow"/>
                <w:lang w:eastAsia="zh-CN"/>
                <w14:textFill>
                  <w14:solidFill>
                    <w14:schemeClr w14:val="tx1"/>
                  </w14:solidFill>
                </w14:textFill>
              </w:rPr>
              <w:t>：</w:t>
            </w:r>
            <w:r>
              <w:rPr>
                <w:rFonts w:hint="eastAsia" w:ascii="宋体" w:hAnsi="宋体" w:cs="宋体"/>
                <w:b/>
                <w:bCs/>
                <w:color w:val="000000" w:themeColor="text1"/>
                <w:sz w:val="24"/>
                <w:szCs w:val="24"/>
                <w:highlight w:val="yellow"/>
                <w14:textFill>
                  <w14:solidFill>
                    <w14:schemeClr w14:val="tx1"/>
                  </w14:solidFill>
                </w14:textFill>
              </w:rPr>
              <w:t>网上开标，腾讯会议号</w:t>
            </w:r>
            <w:r>
              <w:rPr>
                <w:rFonts w:hint="eastAsia" w:ascii="宋体" w:hAnsi="宋体" w:cs="宋体"/>
                <w:b/>
                <w:bCs/>
                <w:color w:val="000000" w:themeColor="text1"/>
                <w:sz w:val="24"/>
                <w:szCs w:val="24"/>
                <w:highlight w:val="yellow"/>
                <w:lang w:eastAsia="zh-CN"/>
                <w14:textFill>
                  <w14:solidFill>
                    <w14:schemeClr w14:val="tx1"/>
                  </w14:solidFill>
                </w14:textFill>
              </w:rPr>
              <w:t>：</w:t>
            </w:r>
            <w:r>
              <w:rPr>
                <w:rFonts w:hint="eastAsia" w:ascii="宋体" w:hAnsi="宋体" w:cs="宋体"/>
                <w:b/>
                <w:bCs/>
                <w:color w:val="000000" w:themeColor="text1"/>
                <w:sz w:val="24"/>
                <w:szCs w:val="24"/>
                <w:highlight w:val="yellow"/>
                <w:u w:val="single"/>
                <w14:textFill>
                  <w14:solidFill>
                    <w14:schemeClr w14:val="tx1"/>
                  </w14:solidFill>
                </w14:textFill>
              </w:rPr>
              <w:t>561-490-530</w:t>
            </w:r>
          </w:p>
        </w:tc>
      </w:tr>
      <w:tr w14:paraId="7238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025" w:type="dxa"/>
            <w:noWrap w:val="0"/>
            <w:vAlign w:val="center"/>
          </w:tcPr>
          <w:p w14:paraId="40B8F6E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5.1.2</w:t>
            </w:r>
          </w:p>
        </w:tc>
        <w:tc>
          <w:tcPr>
            <w:tcW w:w="3243" w:type="dxa"/>
            <w:noWrap w:val="0"/>
            <w:vAlign w:val="center"/>
          </w:tcPr>
          <w:p w14:paraId="6708C44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参加开标会的投标人代表</w:t>
            </w:r>
          </w:p>
        </w:tc>
        <w:tc>
          <w:tcPr>
            <w:tcW w:w="4968" w:type="dxa"/>
            <w:noWrap w:val="0"/>
            <w:vAlign w:val="center"/>
          </w:tcPr>
          <w:p w14:paraId="002DBD14">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法定代表人或委托代理人。</w:t>
            </w:r>
          </w:p>
        </w:tc>
      </w:tr>
      <w:tr w14:paraId="2698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025" w:type="dxa"/>
            <w:noWrap w:val="0"/>
            <w:vAlign w:val="center"/>
          </w:tcPr>
          <w:p w14:paraId="3C817A4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5.2.1</w:t>
            </w:r>
          </w:p>
        </w:tc>
        <w:tc>
          <w:tcPr>
            <w:tcW w:w="3243" w:type="dxa"/>
            <w:noWrap w:val="0"/>
            <w:vAlign w:val="center"/>
          </w:tcPr>
          <w:p w14:paraId="2D7457D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开标程序</w:t>
            </w:r>
          </w:p>
        </w:tc>
        <w:tc>
          <w:tcPr>
            <w:tcW w:w="4968" w:type="dxa"/>
            <w:noWrap w:val="0"/>
            <w:vAlign w:val="center"/>
          </w:tcPr>
          <w:p w14:paraId="3A5FBEDB">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详见投标人须知5.2.1条</w:t>
            </w:r>
          </w:p>
        </w:tc>
      </w:tr>
      <w:tr w14:paraId="040B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25" w:type="dxa"/>
            <w:noWrap w:val="0"/>
            <w:vAlign w:val="center"/>
          </w:tcPr>
          <w:p w14:paraId="6139DB83">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6.1.1</w:t>
            </w:r>
          </w:p>
        </w:tc>
        <w:tc>
          <w:tcPr>
            <w:tcW w:w="3243" w:type="dxa"/>
            <w:noWrap w:val="0"/>
            <w:vAlign w:val="center"/>
          </w:tcPr>
          <w:p w14:paraId="03F0FC2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评标委员会的组建</w:t>
            </w:r>
          </w:p>
        </w:tc>
        <w:tc>
          <w:tcPr>
            <w:tcW w:w="4968" w:type="dxa"/>
            <w:noWrap w:val="0"/>
            <w:vAlign w:val="center"/>
          </w:tcPr>
          <w:p w14:paraId="002BC782">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评标委员会构成：</w:t>
            </w:r>
            <w:r>
              <w:rPr>
                <w:rFonts w:hint="eastAsia" w:ascii="宋体" w:hAnsi="宋体" w:cs="宋体"/>
                <w:color w:val="000000" w:themeColor="text1"/>
                <w:sz w:val="24"/>
                <w:szCs w:val="24"/>
                <w:highlight w:val="none"/>
                <w:u w:val="single"/>
                <w14:textFill>
                  <w14:solidFill>
                    <w14:schemeClr w14:val="tx1"/>
                  </w14:solidFill>
                </w14:textFill>
              </w:rPr>
              <w:t>3</w:t>
            </w:r>
            <w:r>
              <w:rPr>
                <w:rFonts w:hint="eastAsia" w:ascii="宋体" w:hAnsi="宋体" w:cs="宋体"/>
                <w:color w:val="000000" w:themeColor="text1"/>
                <w:sz w:val="24"/>
                <w:szCs w:val="24"/>
                <w:highlight w:val="none"/>
                <w14:textFill>
                  <w14:solidFill>
                    <w14:schemeClr w14:val="tx1"/>
                  </w14:solidFill>
                </w14:textFill>
              </w:rPr>
              <w:t>人。评标专家确定方式：</w:t>
            </w:r>
            <w:r>
              <w:rPr>
                <w:rFonts w:hint="eastAsia" w:ascii="宋体" w:hAnsi="宋体" w:cs="宋体"/>
                <w:color w:val="000000" w:themeColor="text1"/>
                <w:sz w:val="24"/>
                <w:szCs w:val="24"/>
                <w:highlight w:val="none"/>
                <w:u w:val="single"/>
                <w14:textFill>
                  <w14:solidFill>
                    <w14:schemeClr w14:val="tx1"/>
                  </w14:solidFill>
                </w14:textFill>
              </w:rPr>
              <w:t>随机抽取</w:t>
            </w:r>
            <w:r>
              <w:rPr>
                <w:rFonts w:hint="eastAsia" w:ascii="宋体" w:hAnsi="宋体" w:cs="宋体"/>
                <w:color w:val="000000" w:themeColor="text1"/>
                <w:sz w:val="24"/>
                <w:szCs w:val="24"/>
                <w:highlight w:val="none"/>
                <w14:textFill>
                  <w14:solidFill>
                    <w14:schemeClr w14:val="tx1"/>
                  </w14:solidFill>
                </w14:textFill>
              </w:rPr>
              <w:t>。</w:t>
            </w:r>
          </w:p>
        </w:tc>
      </w:tr>
      <w:tr w14:paraId="6346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25" w:type="dxa"/>
            <w:noWrap w:val="0"/>
            <w:vAlign w:val="center"/>
          </w:tcPr>
          <w:p w14:paraId="789E408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6.3</w:t>
            </w:r>
          </w:p>
        </w:tc>
        <w:tc>
          <w:tcPr>
            <w:tcW w:w="3243" w:type="dxa"/>
            <w:noWrap w:val="0"/>
            <w:vAlign w:val="center"/>
          </w:tcPr>
          <w:p w14:paraId="6E07D95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评标方法</w:t>
            </w:r>
          </w:p>
        </w:tc>
        <w:tc>
          <w:tcPr>
            <w:tcW w:w="4968" w:type="dxa"/>
            <w:noWrap w:val="0"/>
            <w:vAlign w:val="center"/>
          </w:tcPr>
          <w:p w14:paraId="3BED6FF5">
            <w:pPr>
              <w:adjustRightInd w:val="0"/>
              <w:snapToGrid w:val="0"/>
              <w:spacing w:line="400" w:lineRule="exac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合理低价法</w:t>
            </w:r>
          </w:p>
        </w:tc>
      </w:tr>
      <w:tr w14:paraId="26ED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9A2D333">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7.1</w:t>
            </w:r>
          </w:p>
        </w:tc>
        <w:tc>
          <w:tcPr>
            <w:tcW w:w="3243" w:type="dxa"/>
            <w:noWrap w:val="0"/>
            <w:vAlign w:val="center"/>
          </w:tcPr>
          <w:p w14:paraId="4F06EAA8">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是否授权评标委员会</w:t>
            </w:r>
          </w:p>
          <w:p w14:paraId="1C4C757B">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确定中标人</w:t>
            </w:r>
          </w:p>
        </w:tc>
        <w:tc>
          <w:tcPr>
            <w:tcW w:w="4968" w:type="dxa"/>
            <w:noWrap w:val="0"/>
            <w:vAlign w:val="center"/>
          </w:tcPr>
          <w:p w14:paraId="0D393CD1">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w:t>
            </w:r>
          </w:p>
          <w:p w14:paraId="702E8F2D">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☑否，推荐的中标候选人数：</w:t>
            </w:r>
            <w:r>
              <w:rPr>
                <w:rFonts w:hint="eastAsia" w:ascii="宋体" w:hAnsi="宋体" w:cs="宋体"/>
                <w:color w:val="000000" w:themeColor="text1"/>
                <w:sz w:val="24"/>
                <w:szCs w:val="24"/>
                <w:highlight w:val="none"/>
                <w:u w:val="single"/>
                <w14:textFill>
                  <w14:solidFill>
                    <w14:schemeClr w14:val="tx1"/>
                  </w14:solidFill>
                </w14:textFill>
              </w:rPr>
              <w:t xml:space="preserve"> 1 </w:t>
            </w:r>
          </w:p>
        </w:tc>
      </w:tr>
      <w:tr w14:paraId="6D32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025" w:type="dxa"/>
            <w:noWrap w:val="0"/>
            <w:vAlign w:val="center"/>
          </w:tcPr>
          <w:p w14:paraId="097CA46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7.3.1</w:t>
            </w:r>
          </w:p>
        </w:tc>
        <w:tc>
          <w:tcPr>
            <w:tcW w:w="3243" w:type="dxa"/>
            <w:noWrap w:val="0"/>
            <w:vAlign w:val="center"/>
          </w:tcPr>
          <w:p w14:paraId="2609279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履约保证金</w:t>
            </w:r>
          </w:p>
        </w:tc>
        <w:tc>
          <w:tcPr>
            <w:tcW w:w="4968" w:type="dxa"/>
            <w:noWrap w:val="0"/>
            <w:vAlign w:val="center"/>
          </w:tcPr>
          <w:p w14:paraId="7EC54512">
            <w:pPr>
              <w:rPr>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履约担保的形式：</w:t>
            </w:r>
            <w:r>
              <w:rPr>
                <w:rFonts w:hint="eastAsia" w:ascii="宋体" w:hAnsi="宋体" w:cs="宋体"/>
                <w:color w:val="000000" w:themeColor="text1"/>
                <w:sz w:val="24"/>
                <w:szCs w:val="24"/>
                <w:highlight w:val="none"/>
                <w14:textFill>
                  <w14:solidFill>
                    <w14:schemeClr w14:val="tx1"/>
                  </w14:solidFill>
                </w14:textFill>
              </w:rPr>
              <w:t>现金、履约担保、投标人基本账户开户行出具的保函或者保险公司保险单。</w:t>
            </w:r>
          </w:p>
          <w:p w14:paraId="456137C7">
            <w:pPr>
              <w:rPr>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履约担保的额度：</w:t>
            </w:r>
            <w:r>
              <w:rPr>
                <w:rFonts w:hint="eastAsia" w:ascii="宋体" w:hAnsi="宋体"/>
                <w:b/>
                <w:bCs/>
                <w:color w:val="000000" w:themeColor="text1"/>
                <w:sz w:val="24"/>
                <w:szCs w:val="24"/>
                <w:highlight w:val="none"/>
                <w14:textFill>
                  <w14:solidFill>
                    <w14:schemeClr w14:val="tx1"/>
                  </w14:solidFill>
                </w14:textFill>
              </w:rPr>
              <w:t>中标价的</w:t>
            </w:r>
            <w:r>
              <w:rPr>
                <w:rFonts w:ascii="宋体" w:hAnsi="宋体"/>
                <w:b/>
                <w:bCs/>
                <w:color w:val="000000" w:themeColor="text1"/>
                <w:sz w:val="24"/>
                <w:szCs w:val="24"/>
                <w:highlight w:val="none"/>
                <w14:textFill>
                  <w14:solidFill>
                    <w14:schemeClr w14:val="tx1"/>
                  </w14:solidFill>
                </w14:textFill>
              </w:rPr>
              <w:t>5</w:t>
            </w:r>
            <w:r>
              <w:rPr>
                <w:rFonts w:hint="eastAsia" w:ascii="宋体" w:hAnsi="宋体"/>
                <w:b/>
                <w:bCs/>
                <w:color w:val="000000" w:themeColor="text1"/>
                <w:sz w:val="24"/>
                <w:szCs w:val="24"/>
                <w:highlight w:val="none"/>
                <w14:textFill>
                  <w14:solidFill>
                    <w14:schemeClr w14:val="tx1"/>
                  </w14:solidFill>
                </w14:textFill>
              </w:rPr>
              <w:t>%</w:t>
            </w:r>
          </w:p>
          <w:p w14:paraId="32A028C5">
            <w:pPr>
              <w:ind w:left="1050" w:hanging="1050"/>
              <w:jc w:val="left"/>
              <w:rPr>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提交时间：中标人应在接到中标通知书 5 日内，并在签订合同前，向招标人足额提交履约保证金，否则招标人可以取消其中标资格</w:t>
            </w:r>
            <w:r>
              <w:rPr>
                <w:rFonts w:hint="eastAsia" w:ascii="宋体" w:hAnsi="宋体" w:cs="宋体"/>
                <w:bCs/>
                <w:color w:val="000000" w:themeColor="text1"/>
                <w:sz w:val="24"/>
                <w:szCs w:val="24"/>
                <w:highlight w:val="none"/>
                <w14:textFill>
                  <w14:solidFill>
                    <w14:schemeClr w14:val="tx1"/>
                  </w14:solidFill>
                </w14:textFill>
              </w:rPr>
              <w:t>，在工程竣工验收合格后无息退还</w:t>
            </w:r>
            <w:r>
              <w:rPr>
                <w:rFonts w:hint="eastAsia" w:ascii="宋体" w:hAnsi="宋体"/>
                <w:color w:val="000000" w:themeColor="text1"/>
                <w:sz w:val="24"/>
                <w:szCs w:val="24"/>
                <w:highlight w:val="none"/>
                <w14:textFill>
                  <w14:solidFill>
                    <w14:schemeClr w14:val="tx1"/>
                  </w14:solidFill>
                </w14:textFill>
              </w:rPr>
              <w:t>。</w:t>
            </w:r>
          </w:p>
          <w:p w14:paraId="28E56B6B">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有效期：至该项目验收合格。</w:t>
            </w:r>
          </w:p>
        </w:tc>
      </w:tr>
      <w:tr w14:paraId="75C95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25" w:type="dxa"/>
            <w:noWrap w:val="0"/>
            <w:vAlign w:val="center"/>
          </w:tcPr>
          <w:p w14:paraId="0A026E2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8.5.1</w:t>
            </w:r>
          </w:p>
        </w:tc>
        <w:tc>
          <w:tcPr>
            <w:tcW w:w="3243" w:type="dxa"/>
            <w:noWrap w:val="0"/>
            <w:vAlign w:val="center"/>
          </w:tcPr>
          <w:p w14:paraId="4E0CD0B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异议提出的时间</w:t>
            </w:r>
          </w:p>
        </w:tc>
        <w:tc>
          <w:tcPr>
            <w:tcW w:w="4968" w:type="dxa"/>
            <w:noWrap w:val="0"/>
            <w:vAlign w:val="center"/>
          </w:tcPr>
          <w:p w14:paraId="474D6CAF">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在知道或者应当知道之日起十日内（除投标人须知2.2条、5.2条、6.4条除外）</w:t>
            </w:r>
          </w:p>
        </w:tc>
      </w:tr>
      <w:tr w14:paraId="60E5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236" w:type="dxa"/>
            <w:gridSpan w:val="3"/>
            <w:shd w:val="clear" w:color="auto" w:fill="auto"/>
            <w:noWrap w:val="0"/>
            <w:vAlign w:val="top"/>
          </w:tcPr>
          <w:p w14:paraId="50001E41">
            <w:pPr>
              <w:keepNext w:val="0"/>
              <w:keepLines w:val="0"/>
              <w:pageBreakBefore w:val="0"/>
              <w:widowControl w:val="0"/>
              <w:numPr>
                <w:ilvl w:val="0"/>
                <w:numId w:val="0"/>
              </w:numPr>
              <w:kinsoku/>
              <w:wordWrap/>
              <w:overflowPunct/>
              <w:topLinePunct w:val="0"/>
              <w:autoSpaceDE/>
              <w:autoSpaceDN/>
              <w:bidi w:val="0"/>
              <w:spacing w:line="440" w:lineRule="exact"/>
              <w:textAlignment w:val="auto"/>
              <w:rPr>
                <w:rFonts w:hint="eastAsia" w:ascii="宋体" w:hAnsi="宋体" w:cs="宋体"/>
                <w:color w:val="000000" w:themeColor="text1"/>
                <w:sz w:val="22"/>
                <w:szCs w:val="22"/>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2"/>
                <w:sz w:val="22"/>
                <w:szCs w:val="22"/>
                <w:shd w:val="clear" w:fill="auto"/>
                <w:lang w:val="en-US" w:eastAsia="zh-CN" w:bidi="ar-SA"/>
                <w14:textFill>
                  <w14:solidFill>
                    <w14:schemeClr w14:val="tx1"/>
                  </w14:solidFill>
                </w14:textFill>
              </w:rPr>
              <w:t>10.</w:t>
            </w:r>
            <w:r>
              <w:rPr>
                <w:rFonts w:hint="eastAsia" w:ascii="宋体" w:hAnsi="宋体" w:cs="宋体"/>
                <w:color w:val="000000" w:themeColor="text1"/>
                <w:sz w:val="22"/>
                <w:szCs w:val="22"/>
                <w:highlight w:val="none"/>
                <w:shd w:val="clear" w:color="auto" w:fill="auto"/>
                <w14:textFill>
                  <w14:solidFill>
                    <w14:schemeClr w14:val="tx1"/>
                  </w14:solidFill>
                </w14:textFill>
              </w:rPr>
              <w:t>需要补充的其他内容</w:t>
            </w:r>
            <w:r>
              <w:rPr>
                <w:rFonts w:hint="eastAsia" w:ascii="宋体" w:hAnsi="宋体" w:cs="宋体"/>
                <w:color w:val="000000" w:themeColor="text1"/>
                <w:sz w:val="22"/>
                <w:szCs w:val="22"/>
                <w:highlight w:val="none"/>
                <w:shd w:val="clear" w:color="auto" w:fill="auto"/>
                <w:lang w:eastAsia="zh-CN"/>
                <w14:textFill>
                  <w14:solidFill>
                    <w14:schemeClr w14:val="tx1"/>
                  </w14:solidFill>
                </w14:textFill>
              </w:rPr>
              <w:t>：</w:t>
            </w:r>
          </w:p>
          <w:p w14:paraId="37206D41">
            <w:pPr>
              <w:keepNext w:val="0"/>
              <w:keepLines w:val="0"/>
              <w:pageBreakBefore w:val="0"/>
              <w:widowControl w:val="0"/>
              <w:numPr>
                <w:ilvl w:val="0"/>
                <w:numId w:val="0"/>
              </w:numPr>
              <w:kinsoku/>
              <w:wordWrap/>
              <w:overflowPunct/>
              <w:topLinePunct w:val="0"/>
              <w:autoSpaceDE/>
              <w:autoSpaceDN/>
              <w:bidi w:val="0"/>
              <w:spacing w:line="440" w:lineRule="exact"/>
              <w:textAlignment w:val="auto"/>
              <w:rPr>
                <w:rFonts w:hint="eastAsia" w:eastAsiaTheme="minorEastAsia"/>
                <w:sz w:val="20"/>
                <w:szCs w:val="22"/>
                <w:lang w:eastAsia="zh-CN"/>
              </w:rPr>
            </w:pPr>
            <w:r>
              <w:rPr>
                <w:rFonts w:hint="eastAsia" w:ascii="宋体" w:hAnsi="宋体" w:eastAsia="宋体" w:cs="宋体"/>
                <w:kern w:val="2"/>
                <w:sz w:val="24"/>
                <w:szCs w:val="24"/>
                <w:lang w:val="en-US" w:eastAsia="zh-CN" w:bidi="ar-SA"/>
              </w:rPr>
              <w:t>1.在</w:t>
            </w:r>
            <w:r>
              <w:rPr>
                <w:rFonts w:hint="eastAsia" w:ascii="宋体" w:hAnsi="宋体" w:eastAsia="宋体" w:cs="宋体"/>
                <w:color w:val="auto"/>
                <w:sz w:val="24"/>
                <w:szCs w:val="24"/>
                <w:lang w:val="en-US" w:eastAsia="zh-CN"/>
              </w:rPr>
              <w:t>本项目施工过程中，如遇一切地方矛盾及由此产生的相关费用（征地、拆迁原因除外），均与招标人无关，由中标人全权负责，并须在投标报价中予以充分考虑。</w:t>
            </w:r>
          </w:p>
          <w:p w14:paraId="26F13623">
            <w:pPr>
              <w:keepNext w:val="0"/>
              <w:keepLines w:val="0"/>
              <w:pageBreakBefore w:val="0"/>
              <w:widowControl w:val="0"/>
              <w:kinsoku/>
              <w:wordWrap/>
              <w:overflowPunct/>
              <w:topLinePunct w:val="0"/>
              <w:autoSpaceDE/>
              <w:autoSpaceDN/>
              <w:bidi w:val="0"/>
              <w:spacing w:line="440" w:lineRule="exact"/>
              <w:textAlignment w:val="auto"/>
              <w:rPr>
                <w:rFonts w:hint="eastAsia" w:eastAsiaTheme="minorEastAsia"/>
                <w:sz w:val="20"/>
                <w:szCs w:val="22"/>
                <w:lang w:eastAsia="zh-CN"/>
              </w:rPr>
            </w:pPr>
            <w:r>
              <w:rPr>
                <w:rFonts w:hint="eastAsia" w:ascii="宋体" w:hAnsi="宋体" w:eastAsia="宋体" w:cs="宋体"/>
                <w:sz w:val="24"/>
                <w:szCs w:val="32"/>
                <w:lang w:eastAsia="zh-CN"/>
              </w:rPr>
              <w:t>2.为确保碎石生产安全并满足路基处理要求，中标方须严格遵循甲方要求，将渣土、碎石运输至甲方指定区域。</w:t>
            </w:r>
          </w:p>
          <w:p w14:paraId="3986A040">
            <w:pPr>
              <w:keepNext w:val="0"/>
              <w:keepLines w:val="0"/>
              <w:pageBreakBefore w:val="0"/>
              <w:widowControl w:val="0"/>
              <w:numPr>
                <w:ilvl w:val="0"/>
                <w:numId w:val="0"/>
              </w:numPr>
              <w:kinsoku/>
              <w:wordWrap/>
              <w:overflowPunct/>
              <w:topLinePunct w:val="0"/>
              <w:autoSpaceDE/>
              <w:autoSpaceDN/>
              <w:bidi w:val="0"/>
              <w:spacing w:line="440" w:lineRule="exact"/>
              <w:textAlignment w:val="auto"/>
              <w:rPr>
                <w:rFonts w:hint="eastAsia" w:eastAsiaTheme="minorEastAsia"/>
                <w:sz w:val="20"/>
                <w:szCs w:val="22"/>
                <w:lang w:eastAsia="zh-CN"/>
              </w:rPr>
            </w:pPr>
            <w:r>
              <w:rPr>
                <w:rFonts w:hint="eastAsia" w:ascii="宋体" w:hAnsi="宋体" w:eastAsia="宋体" w:cs="宋体"/>
                <w:kern w:val="2"/>
                <w:sz w:val="24"/>
                <w:szCs w:val="32"/>
                <w:lang w:val="en-US" w:eastAsia="zh-CN" w:bidi="ar-SA"/>
              </w:rPr>
              <w:t>3.</w:t>
            </w:r>
            <w:r>
              <w:rPr>
                <w:rFonts w:hint="eastAsia" w:ascii="宋体" w:hAnsi="宋体" w:eastAsia="宋体" w:cs="宋体"/>
                <w:sz w:val="24"/>
                <w:szCs w:val="32"/>
                <w:lang w:val="en-US" w:eastAsia="zh-CN"/>
              </w:rPr>
              <w:t>投标</w:t>
            </w:r>
            <w:r>
              <w:rPr>
                <w:rFonts w:hint="eastAsia" w:ascii="宋体" w:hAnsi="宋体" w:cs="宋体"/>
                <w:sz w:val="24"/>
                <w:szCs w:val="32"/>
                <w:lang w:val="en-US" w:eastAsia="zh-CN"/>
              </w:rPr>
              <w:t>人</w:t>
            </w:r>
            <w:r>
              <w:rPr>
                <w:rFonts w:hint="eastAsia" w:ascii="宋体" w:hAnsi="宋体" w:eastAsia="宋体" w:cs="宋体"/>
                <w:sz w:val="24"/>
                <w:szCs w:val="32"/>
                <w:lang w:val="en-US" w:eastAsia="zh-CN"/>
              </w:rPr>
              <w:t>在投标前，可自行组织赴项目现场进行实地考察，以全面掌握项目现场实际情况。</w:t>
            </w:r>
          </w:p>
          <w:p w14:paraId="017F25A8">
            <w:pPr>
              <w:keepNext w:val="0"/>
              <w:keepLines w:val="0"/>
              <w:pageBreakBefore w:val="0"/>
              <w:widowControl w:val="0"/>
              <w:shd w:val="clear"/>
              <w:kinsoku/>
              <w:wordWrap/>
              <w:overflowPunct/>
              <w:topLinePunct w:val="0"/>
              <w:autoSpaceDE/>
              <w:autoSpaceDN/>
              <w:bidi w:val="0"/>
              <w:adjustRightInd w:val="0"/>
              <w:snapToGrid w:val="0"/>
              <w:spacing w:line="440" w:lineRule="exac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sz w:val="24"/>
                <w:szCs w:val="32"/>
                <w:lang w:eastAsia="zh-CN"/>
              </w:rPr>
              <w:t>4.上述条款所涉及的一切相关费用，均由投标人自行承担。</w:t>
            </w:r>
          </w:p>
        </w:tc>
      </w:tr>
      <w:tr w14:paraId="322F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9236" w:type="dxa"/>
            <w:gridSpan w:val="3"/>
            <w:noWrap w:val="0"/>
            <w:vAlign w:val="center"/>
          </w:tcPr>
          <w:p w14:paraId="235A9F88">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解释权：构成本招标文件的各个组成文件应互为解释，互为说明。当发现的不明确或不一致，在招标文件中有明确规定的，评标委员会应按已明确的规定评标；当发现的不明确或不一致，在招标文件中没有明确规定时：⑴凡是构成合同文件组成内容的不明确或不一致，以合同文件约定内容为准，且以专用合同条款约定的合同文件优先顺序解释；⑵凡不是构成合同文件组成内容的不明确或不一致，除招标文件中有特别规定外，仅适用于招标投标阶段的规定，按招标公告（投标邀请书）、投标人须知、评标办法、投标文件格式的先后顺序解释。同一组成文件中就同一事项的规定或约定不一致的，影响评审的，剔除该因素进行评审；其</w:t>
            </w:r>
            <w:r>
              <w:rPr>
                <w:rFonts w:hint="eastAsia" w:ascii="宋体" w:hAnsi="宋体" w:cs="宋体"/>
                <w:color w:val="000000" w:themeColor="text1"/>
                <w:sz w:val="24"/>
                <w:szCs w:val="24"/>
                <w:highlight w:val="none"/>
                <w:lang w:eastAsia="zh-CN"/>
                <w14:textFill>
                  <w14:solidFill>
                    <w14:schemeClr w14:val="tx1"/>
                  </w14:solidFill>
                </w14:textFill>
              </w:rPr>
              <w:t>他</w:t>
            </w:r>
            <w:r>
              <w:rPr>
                <w:rFonts w:hint="eastAsia" w:ascii="宋体" w:hAnsi="宋体" w:cs="宋体"/>
                <w:color w:val="000000" w:themeColor="text1"/>
                <w:sz w:val="24"/>
                <w:szCs w:val="24"/>
                <w:highlight w:val="none"/>
                <w14:textFill>
                  <w14:solidFill>
                    <w14:schemeClr w14:val="tx1"/>
                  </w14:solidFill>
                </w14:textFill>
              </w:rPr>
              <w:t>情形的，以现行法律法规约定为准；凡同一组成文件不同版本之间有不一致的，以形成时间在后者为准。⑶按本款前述规定仍不能形成结论的，由招标人负责解释。</w:t>
            </w:r>
          </w:p>
        </w:tc>
      </w:tr>
    </w:tbl>
    <w:p w14:paraId="397367E5">
      <w:pPr>
        <w:spacing w:before="60" w:beforeLines="25" w:after="60" w:afterLines="25"/>
        <w:jc w:val="center"/>
        <w:outlineLvl w:val="0"/>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br w:type="page"/>
      </w:r>
    </w:p>
    <w:p w14:paraId="074A1BC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bookmarkStart w:id="2" w:name="_Toc498006644"/>
      <w:bookmarkStart w:id="3" w:name="_Toc389065145"/>
      <w:bookmarkStart w:id="4" w:name="_Toc29430"/>
      <w:r>
        <w:rPr>
          <w:rFonts w:hint="eastAsia" w:ascii="宋体" w:hAnsi="宋体"/>
          <w:b/>
          <w:bCs/>
          <w:color w:val="000000" w:themeColor="text1"/>
          <w:sz w:val="24"/>
          <w:szCs w:val="24"/>
          <w:highlight w:val="none"/>
          <w14:textFill>
            <w14:solidFill>
              <w14:schemeClr w14:val="tx1"/>
            </w14:solidFill>
          </w14:textFill>
        </w:rPr>
        <w:t>1 总则</w:t>
      </w:r>
      <w:bookmarkEnd w:id="2"/>
      <w:bookmarkEnd w:id="3"/>
    </w:p>
    <w:p w14:paraId="350C9435">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bookmarkStart w:id="5" w:name="_Toc498006645"/>
      <w:bookmarkStart w:id="6" w:name="_Toc389065146"/>
      <w:r>
        <w:rPr>
          <w:rFonts w:hint="eastAsia" w:ascii="宋体" w:hAnsi="宋体"/>
          <w:b/>
          <w:bCs/>
          <w:color w:val="000000" w:themeColor="text1"/>
          <w:sz w:val="24"/>
          <w:szCs w:val="24"/>
          <w:highlight w:val="none"/>
          <w14:textFill>
            <w14:solidFill>
              <w14:schemeClr w14:val="tx1"/>
            </w14:solidFill>
          </w14:textFill>
        </w:rPr>
        <w:t>1.1 项目概况</w:t>
      </w:r>
      <w:bookmarkEnd w:id="5"/>
      <w:bookmarkEnd w:id="6"/>
    </w:p>
    <w:p w14:paraId="3153659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1.1.1 根据《中华人民共和国招标投标法》等有关法律、法规和规章的规定，本招标项目已具备招标条件，现对该项目进行招标。</w:t>
      </w:r>
    </w:p>
    <w:p w14:paraId="4DE88B35">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1.1.2 本招标项目招标人：见“投标人须知前附表”。</w:t>
      </w:r>
    </w:p>
    <w:p w14:paraId="11D6456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1.1.3 本标段招标代理机构：见“投标人须知前附表”。</w:t>
      </w:r>
    </w:p>
    <w:p w14:paraId="733D9E6F">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1.1.4 本招标项目及标段名称：见“投标人须知前附表”。</w:t>
      </w:r>
    </w:p>
    <w:p w14:paraId="05F70511">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1.1.5 本标段建设地点：见“投标人须知前附表”。</w:t>
      </w:r>
    </w:p>
    <w:p w14:paraId="4C702B4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1.2 资金来源和落实情况</w:t>
      </w:r>
    </w:p>
    <w:p w14:paraId="62224ED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1.2.1 本招标项目的资金来源：见“投标人须知前附表”。</w:t>
      </w:r>
    </w:p>
    <w:p w14:paraId="36A78FB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1.2.2 本招标项目的出资比例：见“投标人须知前附表”。</w:t>
      </w:r>
    </w:p>
    <w:p w14:paraId="4AD7E7EA">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1.2.3 本招标项目的资金落实情况：见“投标人须知前附表”。</w:t>
      </w:r>
    </w:p>
    <w:p w14:paraId="3849EB4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1.2.4 本招标项目的工程款支付方式：见“投标人须知前附表”。</w:t>
      </w:r>
    </w:p>
    <w:p w14:paraId="5C4B61D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1.3 招标范围、计划工期和质量要求</w:t>
      </w:r>
    </w:p>
    <w:p w14:paraId="455F5AF2">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1.3.1 本次招标范围：见“投标人须知前附表”。</w:t>
      </w:r>
    </w:p>
    <w:p w14:paraId="1137E0E6">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1.3.2 计划工期：见“投标人须知前附表”。</w:t>
      </w:r>
    </w:p>
    <w:p w14:paraId="7C6B620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1.3.3 本标段的质量要求：见“投标人须知前附表”。</w:t>
      </w:r>
    </w:p>
    <w:p w14:paraId="77A68BC1">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1.4 投标人资格要求</w:t>
      </w:r>
    </w:p>
    <w:p w14:paraId="503708F1">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1.4.1 投标人应具备承担本项目施工的资格要求，见招标公告。</w:t>
      </w:r>
    </w:p>
    <w:p w14:paraId="3AD25410">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1.4.2 投标人不得存在下列情形之一：</w:t>
      </w:r>
    </w:p>
    <w:p w14:paraId="4C3B759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（1）为招标人不具有独立法人资格的附属机构（单位）；</w:t>
      </w:r>
    </w:p>
    <w:p w14:paraId="4FA39A75">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（2）为本招标项目的监理人、代建人、项目管理人，以及为本招标项目提供招标代理、设计服务的；</w:t>
      </w:r>
    </w:p>
    <w:p w14:paraId="07B18562">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（3）与本招标项目的监理人、代建人、招标代理机构同为一个法定代表人的，或者相互控股、参股的；</w:t>
      </w:r>
    </w:p>
    <w:p w14:paraId="698BF10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（4）与招标人存在利害关系可能影响招标公正性的；</w:t>
      </w:r>
    </w:p>
    <w:p w14:paraId="58C9C703">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（5）单位负责人为同一人或者存在控股、管理关系的不同单位；</w:t>
      </w:r>
    </w:p>
    <w:p w14:paraId="0128330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（6）处于被责令停业、财产被接管、冻结和破产状态，以及投标资格被取消或者被暂停且在暂停期内；</w:t>
      </w:r>
    </w:p>
    <w:p w14:paraId="7088D352">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（7）因拖欠工人工资或者发生质量安全事故被有关部门限制在招标项目所在地承接工程的；</w:t>
      </w:r>
    </w:p>
    <w:p w14:paraId="5EF892F6">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（8）投标人近3年内有行贿犯罪行为且被记录，或者法定代表人有行贿犯罪记录且自记录之日起未超过5年的。</w:t>
      </w:r>
    </w:p>
    <w:p w14:paraId="2597427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1.5 费用承担</w:t>
      </w:r>
    </w:p>
    <w:p w14:paraId="5D1C9A5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投标人准备和参加投标活动发生的费用自理。</w:t>
      </w:r>
    </w:p>
    <w:p w14:paraId="1F3320C4">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1.6 保密</w:t>
      </w:r>
    </w:p>
    <w:p w14:paraId="0A4A3938">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参与招标投标活动的各方应对招标文件和投标文件中的商业和技术等秘密保密，违者应对由此造成的后果承担法律责任。</w:t>
      </w:r>
    </w:p>
    <w:p w14:paraId="385BED81">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1.7 语言文字</w:t>
      </w:r>
    </w:p>
    <w:p w14:paraId="657DF18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除专用术语外，与招标投标有关的语言均使用中文，必要时专用术语应附有中文注释。</w:t>
      </w:r>
    </w:p>
    <w:p w14:paraId="71E9670D">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1.8 计量单位</w:t>
      </w:r>
    </w:p>
    <w:p w14:paraId="36646077">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所有计量均采用中华人民共和国法定计量单位。</w:t>
      </w:r>
    </w:p>
    <w:p w14:paraId="0FC5371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1.9 踏勘现场</w:t>
      </w:r>
    </w:p>
    <w:p w14:paraId="3975E0E0">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1.9.1 投标人根据需要自行踏勘项目现场。</w:t>
      </w:r>
    </w:p>
    <w:p w14:paraId="4A652DB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1.9.2 投标人踏勘现场发生的费用自理。</w:t>
      </w:r>
    </w:p>
    <w:p w14:paraId="10B00E1D">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1.9.3 投标人自行负责在踏勘现场中所发生的人员伤亡和财产损失。</w:t>
      </w:r>
    </w:p>
    <w:p w14:paraId="4FA36750">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1.10 分包</w:t>
      </w:r>
    </w:p>
    <w:p w14:paraId="7106BDF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投标人拟在中标后将中标项目的部分非主体、非关键性工作进行分包的，应符合“投标人须知前附表”规定的分包内容、分包金额和接受分包的第三人资质要求等限制性条件。</w:t>
      </w:r>
    </w:p>
    <w:p w14:paraId="58426848">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1.11 偏离</w:t>
      </w:r>
    </w:p>
    <w:p w14:paraId="51C9099F">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投标人须知前附表允许投标文件偏离招标文件某些要求的，偏离应当符合招标文件规定的偏离范围和幅度。</w:t>
      </w:r>
    </w:p>
    <w:p w14:paraId="1520413F">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1.12 知识产权</w:t>
      </w:r>
    </w:p>
    <w:p w14:paraId="4A28CF77">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59EFA488">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1.13 同义词语</w:t>
      </w:r>
    </w:p>
    <w:p w14:paraId="5D717F82">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构成招标文件组成部分的“通用合同条款”、“专用合同条款”、“技术标准和要求”和“工程量清单”等章节中出现的措辞“发包人”和“承包人”，在招标投标阶段应当分别按“招标人”和“投标人”进行理解。</w:t>
      </w:r>
    </w:p>
    <w:p w14:paraId="23A0B2E9">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 招标文件</w:t>
      </w:r>
    </w:p>
    <w:p w14:paraId="325F47D9">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2.1 招标文件的组成</w:t>
      </w:r>
    </w:p>
    <w:p w14:paraId="7CDEE824">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2.1.1 本招标文件包括：</w:t>
      </w:r>
    </w:p>
    <w:p w14:paraId="1A4CA4D6">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w:t>
      </w:r>
      <w:r>
        <w:rPr>
          <w:rFonts w:hint="eastAsia" w:ascii="宋体" w:hAnsi="宋体"/>
          <w:color w:val="000000" w:themeColor="text1"/>
          <w:sz w:val="24"/>
          <w:szCs w:val="24"/>
          <w:highlight w:val="none"/>
          <w:lang w:val="en-US" w:eastAsia="zh-CN"/>
          <w14:textFill>
            <w14:solidFill>
              <w14:schemeClr w14:val="tx1"/>
            </w14:solidFill>
          </w14:textFill>
        </w:rPr>
        <w:t>招标公告</w:t>
      </w:r>
      <w:r>
        <w:rPr>
          <w:rFonts w:hint="eastAsia" w:ascii="宋体" w:hAnsi="宋体"/>
          <w:color w:val="000000" w:themeColor="text1"/>
          <w:sz w:val="24"/>
          <w:szCs w:val="24"/>
          <w:highlight w:val="none"/>
          <w14:textFill>
            <w14:solidFill>
              <w14:schemeClr w14:val="tx1"/>
            </w14:solidFill>
          </w14:textFill>
        </w:rPr>
        <w:t>；</w:t>
      </w:r>
    </w:p>
    <w:p w14:paraId="512AC9D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（2）投标人须知；</w:t>
      </w:r>
    </w:p>
    <w:p w14:paraId="78B852F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（3）评标办法；</w:t>
      </w:r>
    </w:p>
    <w:p w14:paraId="27C11125">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（4）合同条款及格式；</w:t>
      </w:r>
    </w:p>
    <w:p w14:paraId="3FD934B7">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（5）工程量清单；</w:t>
      </w:r>
    </w:p>
    <w:p w14:paraId="52E167A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6</w:t>
      </w:r>
      <w:r>
        <w:rPr>
          <w:rFonts w:hint="eastAsia" w:ascii="宋体" w:hAnsi="宋体"/>
          <w:color w:val="000000" w:themeColor="text1"/>
          <w:sz w:val="24"/>
          <w:szCs w:val="24"/>
          <w:highlight w:val="none"/>
          <w14:textFill>
            <w14:solidFill>
              <w14:schemeClr w14:val="tx1"/>
            </w14:solidFill>
          </w14:textFill>
        </w:rPr>
        <w:t>）投标文件格式。</w:t>
      </w:r>
    </w:p>
    <w:p w14:paraId="76A6C2F4">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2.1.2 根据本章第2.2款和第2.3款对招标文件所作的澄清、修改，构成招标文件的组成部分。招标文件的澄清、修改内容前后相互矛盾时，以发布时间在后的文件为准。</w:t>
      </w:r>
    </w:p>
    <w:p w14:paraId="1588C1BE">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2.2 招标文件的澄清</w:t>
      </w:r>
    </w:p>
    <w:p w14:paraId="47ABAA50">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2.2.1 投标人应仔细阅读和检查招标文件的全部内容，投标人如有疑问，应在投标人须知前附表规定的时间，通过书面形式提交，要求招标人对招标文件予以澄清。</w:t>
      </w:r>
    </w:p>
    <w:p w14:paraId="5D3B5487">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投标人不在澄清期限内提出，招标人有权不予答复。</w:t>
      </w:r>
    </w:p>
    <w:p w14:paraId="4693FA8B">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2.2.2 招标文件的澄清将应在投标人须知前附表规定的时间前，通过书面形式发给所有投标人，但招标人不指明澄清问题的来源，招标人不再另行通知。</w:t>
      </w:r>
    </w:p>
    <w:p w14:paraId="5717BFB2">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2.2.3澄清文件按本章第2.2.2款规定发出之时起，视为投标人已收到该澄清文件。投标人未及时查阅招标文件的澄清，或未按照澄清后的招标文件编制投标文件，由此造成的后果由投标人自行承担。</w:t>
      </w:r>
    </w:p>
    <w:p w14:paraId="466363B3">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2.3 招标文件的修改</w:t>
      </w:r>
    </w:p>
    <w:p w14:paraId="65540ACD">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2.3.1 招标文件发布后，招标人确需对招标文件进行修改的，招标人将通过书面形式发给所有投标人。</w:t>
      </w:r>
    </w:p>
    <w:p w14:paraId="243C1800">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2.3.2 修改文件按本章第2.3.1款规定发出之时起，视为投标人已收到该修改文件。投标人未及时查阅招标文件的修改，或未按照修改后的招标文件编制投标文件，由此造成的后果由投标人自行承担。</w:t>
      </w:r>
    </w:p>
    <w:p w14:paraId="55D04E8F">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2.4 招标控制价</w:t>
      </w:r>
    </w:p>
    <w:p w14:paraId="3C80D5BD">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招标控制价，是招标人根据国家或省级、行业建设主管部门颁发的有关计价依据和办法，以及本招标文件和招标工程量清单，结合工程具体情况编制的本次招标工程的最高投标限价。</w:t>
      </w:r>
      <w:r>
        <w:rPr>
          <w:rFonts w:hint="eastAsia" w:ascii="宋体" w:hAnsi="宋体"/>
          <w:b/>
          <w:color w:val="000000" w:themeColor="text1"/>
          <w:sz w:val="24"/>
          <w:szCs w:val="24"/>
          <w:highlight w:val="none"/>
          <w14:textFill>
            <w14:solidFill>
              <w14:schemeClr w14:val="tx1"/>
            </w14:solidFill>
          </w14:textFill>
        </w:rPr>
        <w:t>本工程招标控制价金额见“投标人须知前附表”。</w:t>
      </w:r>
    </w:p>
    <w:p w14:paraId="6F700F7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 投标文件</w:t>
      </w:r>
    </w:p>
    <w:p w14:paraId="47BFCE09">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3.1 投标文件的组成</w:t>
      </w:r>
    </w:p>
    <w:p w14:paraId="4F3D81D0">
      <w:pPr>
        <w:keepNext w:val="0"/>
        <w:keepLines w:val="0"/>
        <w:pageBreakBefore w:val="0"/>
        <w:widowControl w:val="0"/>
        <w:tabs>
          <w:tab w:val="left" w:pos="0"/>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3.1.1 投标文件均由封面、投标函、法定代表人身份证明、委托代理书（如果有）、</w:t>
      </w:r>
      <w:r>
        <w:rPr>
          <w:rFonts w:hint="eastAsia" w:ascii="宋体" w:hAnsi="宋体"/>
          <w:bCs/>
          <w:color w:val="000000" w:themeColor="text1"/>
          <w:sz w:val="24"/>
          <w:szCs w:val="24"/>
          <w:highlight w:val="none"/>
          <w14:textFill>
            <w14:solidFill>
              <w14:schemeClr w14:val="tx1"/>
            </w14:solidFill>
          </w14:textFill>
        </w:rPr>
        <w:t>资格审查资料、</w:t>
      </w:r>
      <w:r>
        <w:rPr>
          <w:rFonts w:hint="eastAsia" w:ascii="宋体" w:hAnsi="宋体"/>
          <w:color w:val="000000" w:themeColor="text1"/>
          <w:sz w:val="24"/>
          <w:szCs w:val="24"/>
          <w:highlight w:val="none"/>
          <w14:textFill>
            <w14:solidFill>
              <w14:schemeClr w14:val="tx1"/>
            </w14:solidFill>
          </w14:textFill>
        </w:rPr>
        <w:t>已标价工程量清单组成。</w:t>
      </w:r>
    </w:p>
    <w:p w14:paraId="5E040618">
      <w:pPr>
        <w:keepNext w:val="0"/>
        <w:keepLines w:val="0"/>
        <w:pageBreakBefore w:val="0"/>
        <w:widowControl w:val="0"/>
        <w:kinsoku/>
        <w:wordWrap/>
        <w:overflowPunct/>
        <w:topLinePunct w:val="0"/>
        <w:autoSpaceDE/>
        <w:autoSpaceDN/>
        <w:bidi w:val="0"/>
        <w:adjustRightInd/>
        <w:spacing w:line="336" w:lineRule="auto"/>
        <w:ind w:firstLine="480" w:firstLineChars="200"/>
        <w:jc w:val="left"/>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3.1.2</w:t>
      </w:r>
      <w:r>
        <w:rPr>
          <w:rFonts w:hint="eastAsia" w:ascii="宋体" w:hAnsi="宋体"/>
          <w:b/>
          <w:color w:val="000000" w:themeColor="text1"/>
          <w:sz w:val="24"/>
          <w:szCs w:val="24"/>
          <w:highlight w:val="non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已标价工程量清单,按照施工图纸、招标文件（含工程量清单）、《建设工程工程量清单计价规范》（GB50500-2013）、《房屋建筑与装饰工程工程量计算规范》（GB50854-2013）、《市政工程工程量计算规范》（GB50857-2013）……（以下简称《工程量计算规范》）；《江苏省建筑与装饰工程计价定额》（2014版）、《江苏省安装工程计价定额》（2014版）、《江苏省市政工程计价定额》（2014版）和《江苏省修缮工程计价定额》（20</w:t>
      </w:r>
      <w:r>
        <w:rPr>
          <w:rFonts w:ascii="宋体" w:hAnsi="宋体"/>
          <w:color w:val="000000" w:themeColor="text1"/>
          <w:sz w:val="24"/>
          <w:szCs w:val="24"/>
          <w:highlight w:val="none"/>
          <w14:textFill>
            <w14:solidFill>
              <w14:schemeClr w14:val="tx1"/>
            </w14:solidFill>
          </w14:textFill>
        </w:rPr>
        <w:t>09</w:t>
      </w:r>
      <w:r>
        <w:rPr>
          <w:rFonts w:hint="eastAsia" w:ascii="宋体" w:hAnsi="宋体"/>
          <w:color w:val="000000" w:themeColor="text1"/>
          <w:sz w:val="24"/>
          <w:szCs w:val="24"/>
          <w:highlight w:val="none"/>
          <w14:textFill>
            <w14:solidFill>
              <w14:schemeClr w14:val="tx1"/>
            </w14:solidFill>
          </w14:textFill>
        </w:rPr>
        <w:t>版）……（以下简称《计价定额》）、《江苏省建设工程费用定额》（2014年）以及关于营改增后工程计价依据调整内容（苏建价[2016]154号）以下简称《费用定额》）、苏建函价[2018]298号文件《省住房城乡建设厅关于建筑业增值税计价政策调整的通知》、《盐城工程造价信息》、人工工资执行苏建函价〔2021〕62号及各级建设行政主管部门发布的有关文件及政策性文件等规定进行编制。</w:t>
      </w:r>
    </w:p>
    <w:p w14:paraId="651873BC">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3.1.3 </w:t>
      </w:r>
      <w:r>
        <w:rPr>
          <w:rFonts w:hint="eastAsia" w:ascii="宋体" w:hAnsi="宋体"/>
          <w:bCs/>
          <w:color w:val="000000" w:themeColor="text1"/>
          <w:sz w:val="24"/>
          <w:szCs w:val="24"/>
          <w:highlight w:val="none"/>
          <w14:textFill>
            <w14:solidFill>
              <w14:schemeClr w14:val="tx1"/>
            </w14:solidFill>
          </w14:textFill>
        </w:rPr>
        <w:t>资格审查资料：</w:t>
      </w:r>
    </w:p>
    <w:p w14:paraId="7B043603">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hint="eastAsia"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企业法人营业执照副本、企业资质证书副本、企业安全生产许可证副本、项目负责人建造师注册证书、项目负责人B类安全生产考核合格证</w:t>
      </w:r>
      <w:r>
        <w:rPr>
          <w:rFonts w:hint="eastAsia" w:ascii="宋体" w:hAnsi="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项目负责人及被授权委托人（如果有）养老保险证明</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企业基本开户许可证或企业银行基本存款账户开户基本信息</w:t>
      </w:r>
      <w:r>
        <w:rPr>
          <w:rFonts w:hint="eastAsia" w:ascii="宋体" w:hAnsi="宋体"/>
          <w:color w:val="000000" w:themeColor="text1"/>
          <w:sz w:val="24"/>
          <w:szCs w:val="24"/>
          <w:highlight w:val="none"/>
          <w:lang w:eastAsia="zh-CN"/>
          <w14:textFill>
            <w14:solidFill>
              <w14:schemeClr w14:val="tx1"/>
            </w14:solidFill>
          </w14:textFill>
        </w:rPr>
        <w:t>。</w:t>
      </w:r>
    </w:p>
    <w:p w14:paraId="19C5A7F5">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上述资格审查材料须为原件彩色扫描件并加盖单位公章</w:t>
      </w:r>
      <w:r>
        <w:rPr>
          <w:rFonts w:hint="eastAsia" w:ascii="宋体" w:hAnsi="宋体"/>
          <w:b/>
          <w:color w:val="000000" w:themeColor="text1"/>
          <w:sz w:val="24"/>
          <w:szCs w:val="24"/>
          <w:highlight w:val="none"/>
          <w14:textFill>
            <w14:solidFill>
              <w14:schemeClr w14:val="tx1"/>
            </w14:solidFill>
          </w14:textFill>
        </w:rPr>
        <w:t>，投标时不需要提供原件。</w:t>
      </w:r>
    </w:p>
    <w:p w14:paraId="52220FFB">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 xml:space="preserve">3.2 </w:t>
      </w:r>
      <w:r>
        <w:rPr>
          <w:rFonts w:hint="eastAsia" w:ascii="宋体" w:hAnsi="宋体"/>
          <w:b/>
          <w:bCs/>
          <w:color w:val="000000" w:themeColor="text1"/>
          <w:sz w:val="24"/>
          <w:szCs w:val="24"/>
          <w:highlight w:val="none"/>
          <w14:textFill>
            <w14:solidFill>
              <w14:schemeClr w14:val="tx1"/>
            </w14:solidFill>
          </w14:textFill>
        </w:rPr>
        <w:t>投标报价</w:t>
      </w:r>
    </w:p>
    <w:p w14:paraId="0A7A366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3.2.1 本工程实行《建设工程工程量清单计价规范》（GB50500-2013）招标，由招标人提供工程量清单，投标人以工程量清单及说明为基础,按江苏省住房和城乡建设厅苏建价[2016]154号文件《省住房城乡建设厅关于建筑业实施营改增后江苏省建设工程计价依据调整的通知》中“一般计税方法”包工包料计算程序编制报价。</w:t>
      </w:r>
    </w:p>
    <w:p w14:paraId="3880515E">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3.2.2 投标人应充分了解施工场地的</w:t>
      </w:r>
      <w:r>
        <w:rPr>
          <w:rFonts w:ascii="宋体" w:hAnsi="宋体"/>
          <w:color w:val="000000" w:themeColor="text1"/>
          <w:sz w:val="24"/>
          <w:szCs w:val="24"/>
          <w:highlight w:val="none"/>
          <w14:textFill>
            <w14:solidFill>
              <w14:schemeClr w14:val="tx1"/>
            </w14:solidFill>
          </w14:textFill>
        </w:rPr>
        <w:t>位置、周边</w:t>
      </w:r>
      <w:r>
        <w:rPr>
          <w:rFonts w:hint="eastAsia" w:ascii="宋体" w:hAnsi="宋体"/>
          <w:color w:val="000000" w:themeColor="text1"/>
          <w:sz w:val="24"/>
          <w:szCs w:val="24"/>
          <w:highlight w:val="none"/>
          <w14:textFill>
            <w14:solidFill>
              <w14:schemeClr w14:val="tx1"/>
            </w14:solidFill>
          </w14:textFill>
        </w:rPr>
        <w:t>环境</w:t>
      </w:r>
      <w:r>
        <w:rPr>
          <w:rFonts w:ascii="宋体" w:hAnsi="宋体"/>
          <w:color w:val="000000" w:themeColor="text1"/>
          <w:sz w:val="24"/>
          <w:szCs w:val="24"/>
          <w:highlight w:val="none"/>
          <w14:textFill>
            <w14:solidFill>
              <w14:schemeClr w14:val="tx1"/>
            </w14:solidFill>
          </w14:textFill>
        </w:rPr>
        <w:t>、道路、装卸、保管、安装限制</w:t>
      </w:r>
      <w:r>
        <w:rPr>
          <w:rFonts w:hint="eastAsia" w:ascii="宋体" w:hAnsi="宋体"/>
          <w:color w:val="000000" w:themeColor="text1"/>
          <w:sz w:val="24"/>
          <w:szCs w:val="24"/>
          <w:highlight w:val="none"/>
          <w14:textFill>
            <w14:solidFill>
              <w14:schemeClr w14:val="tx1"/>
            </w14:solidFill>
          </w14:textFill>
        </w:rPr>
        <w:t>以</w:t>
      </w:r>
      <w:r>
        <w:rPr>
          <w:rFonts w:ascii="宋体" w:hAnsi="宋体"/>
          <w:color w:val="000000" w:themeColor="text1"/>
          <w:sz w:val="24"/>
          <w:szCs w:val="24"/>
          <w:highlight w:val="none"/>
          <w14:textFill>
            <w14:solidFill>
              <w14:schemeClr w14:val="tx1"/>
            </w14:solidFill>
          </w14:textFill>
        </w:rPr>
        <w:t>及影响</w:t>
      </w:r>
      <w:r>
        <w:rPr>
          <w:rFonts w:hint="eastAsia" w:ascii="宋体" w:hAnsi="宋体"/>
          <w:color w:val="000000" w:themeColor="text1"/>
          <w:sz w:val="24"/>
          <w:szCs w:val="24"/>
          <w:highlight w:val="none"/>
          <w14:textFill>
            <w14:solidFill>
              <w14:schemeClr w14:val="tx1"/>
            </w14:solidFill>
          </w14:textFill>
        </w:rPr>
        <w:t>投标报价的其他要素。投标人</w:t>
      </w:r>
      <w:r>
        <w:rPr>
          <w:rFonts w:ascii="宋体" w:hAnsi="宋体"/>
          <w:color w:val="000000" w:themeColor="text1"/>
          <w:sz w:val="24"/>
          <w:szCs w:val="24"/>
          <w:highlight w:val="none"/>
          <w14:textFill>
            <w14:solidFill>
              <w14:schemeClr w14:val="tx1"/>
            </w14:solidFill>
          </w14:textFill>
        </w:rPr>
        <w:t>根据</w:t>
      </w:r>
      <w:r>
        <w:rPr>
          <w:rFonts w:hint="eastAsia" w:ascii="宋体" w:hAnsi="宋体"/>
          <w:color w:val="000000" w:themeColor="text1"/>
          <w:sz w:val="24"/>
          <w:szCs w:val="24"/>
          <w:highlight w:val="none"/>
          <w14:textFill>
            <w14:solidFill>
              <w14:schemeClr w14:val="tx1"/>
            </w14:solidFill>
          </w14:textFill>
        </w:rPr>
        <w:t>拟实施的施工组织</w:t>
      </w:r>
      <w:r>
        <w:rPr>
          <w:rFonts w:ascii="宋体" w:hAnsi="宋体"/>
          <w:color w:val="000000" w:themeColor="text1"/>
          <w:sz w:val="24"/>
          <w:szCs w:val="24"/>
          <w:highlight w:val="none"/>
          <w14:textFill>
            <w14:solidFill>
              <w14:schemeClr w14:val="tx1"/>
            </w14:solidFill>
          </w14:textFill>
        </w:rPr>
        <w:t>设计</w:t>
      </w:r>
      <w:r>
        <w:rPr>
          <w:rFonts w:hint="eastAsia" w:ascii="宋体" w:hAnsi="宋体"/>
          <w:color w:val="000000" w:themeColor="text1"/>
          <w:sz w:val="24"/>
          <w:szCs w:val="24"/>
          <w:highlight w:val="none"/>
          <w14:textFill>
            <w14:solidFill>
              <w14:schemeClr w14:val="tx1"/>
            </w14:solidFill>
          </w14:textFill>
        </w:rPr>
        <w:t>，结合</w:t>
      </w:r>
      <w:r>
        <w:rPr>
          <w:rFonts w:ascii="宋体" w:hAnsi="宋体"/>
          <w:color w:val="000000" w:themeColor="text1"/>
          <w:sz w:val="24"/>
          <w:szCs w:val="24"/>
          <w:highlight w:val="none"/>
          <w14:textFill>
            <w14:solidFill>
              <w14:schemeClr w14:val="tx1"/>
            </w14:solidFill>
          </w14:textFill>
        </w:rPr>
        <w:t>市场情况进行投标报价。</w:t>
      </w:r>
    </w:p>
    <w:p w14:paraId="15345A38">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3.2.3 投标人在投标截止时间前修改投标函中的投标报价总额，应同时修改投标文件“已标价工程量清单”中的相应报价，二者必须相同。</w:t>
      </w:r>
    </w:p>
    <w:p w14:paraId="34DFB59C">
      <w:pPr>
        <w:keepNext w:val="0"/>
        <w:keepLines w:val="0"/>
        <w:pageBreakBefore w:val="0"/>
        <w:widowControl w:val="0"/>
        <w:kinsoku/>
        <w:wordWrap/>
        <w:overflowPunct/>
        <w:topLinePunct w:val="0"/>
        <w:autoSpaceDE/>
        <w:autoSpaceDN/>
        <w:bidi w:val="0"/>
        <w:adjustRightInd/>
        <w:snapToGrid w:val="0"/>
        <w:spacing w:line="336" w:lineRule="auto"/>
        <w:ind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3.2.4工程量清单中暂列金、暂估价、安全文明施工措施费、规费(包括社会保险费、住房公积金、环境保护税</w:t>
      </w:r>
      <w:r>
        <w:rPr>
          <w:rFonts w:hint="eastAsia" w:ascii="宋体" w:hAnsi="宋体" w:cs="宋体"/>
          <w:b/>
          <w:color w:val="000000" w:themeColor="text1"/>
          <w:kern w:val="0"/>
          <w:sz w:val="24"/>
          <w:szCs w:val="24"/>
          <w:highlight w:val="none"/>
          <w14:textFill>
            <w14:solidFill>
              <w14:schemeClr w14:val="tx1"/>
            </w14:solidFill>
          </w14:textFill>
        </w:rPr>
        <w:t>)</w:t>
      </w:r>
      <w:r>
        <w:rPr>
          <w:rFonts w:hint="eastAsia" w:ascii="宋体" w:hAnsi="宋体"/>
          <w:b/>
          <w:color w:val="000000" w:themeColor="text1"/>
          <w:sz w:val="24"/>
          <w:szCs w:val="24"/>
          <w:highlight w:val="none"/>
          <w14:textFill>
            <w14:solidFill>
              <w14:schemeClr w14:val="tx1"/>
            </w14:solidFill>
          </w14:textFill>
        </w:rPr>
        <w:t>、</w:t>
      </w:r>
      <w:r>
        <w:rPr>
          <w:rFonts w:hint="eastAsia" w:ascii="宋体" w:hAnsi="宋体" w:cs="宋体"/>
          <w:b/>
          <w:color w:val="000000" w:themeColor="text1"/>
          <w:kern w:val="0"/>
          <w:sz w:val="24"/>
          <w:szCs w:val="24"/>
          <w:highlight w:val="none"/>
          <w14:textFill>
            <w14:solidFill>
              <w14:schemeClr w14:val="tx1"/>
            </w14:solidFill>
          </w14:textFill>
        </w:rPr>
        <w:t>税金</w:t>
      </w:r>
      <w:r>
        <w:rPr>
          <w:rFonts w:hint="eastAsia" w:ascii="宋体" w:hAnsi="宋体"/>
          <w:b/>
          <w:color w:val="000000" w:themeColor="text1"/>
          <w:sz w:val="24"/>
          <w:szCs w:val="24"/>
          <w:highlight w:val="none"/>
          <w14:textFill>
            <w14:solidFill>
              <w14:schemeClr w14:val="tx1"/>
            </w14:solidFill>
          </w14:textFill>
        </w:rPr>
        <w:t>为不可竞争费用项目，其金额（费率）不得改变，否则按废标处理。</w:t>
      </w:r>
    </w:p>
    <w:p w14:paraId="7AA3A432">
      <w:pPr>
        <w:keepNext w:val="0"/>
        <w:keepLines w:val="0"/>
        <w:pageBreakBefore w:val="0"/>
        <w:widowControl w:val="0"/>
        <w:kinsoku/>
        <w:wordWrap/>
        <w:overflowPunct/>
        <w:topLinePunct w:val="0"/>
        <w:autoSpaceDE/>
        <w:autoSpaceDN/>
        <w:bidi w:val="0"/>
        <w:adjustRightInd/>
        <w:spacing w:line="336" w:lineRule="auto"/>
        <w:ind w:firstLine="470" w:firstLineChars="196"/>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3.2.5 本工程投标报价采用的币种为人民币,单位为元。</w:t>
      </w:r>
    </w:p>
    <w:p w14:paraId="672A806F">
      <w:pPr>
        <w:keepNext w:val="0"/>
        <w:keepLines w:val="0"/>
        <w:pageBreakBefore w:val="0"/>
        <w:widowControl w:val="0"/>
        <w:kinsoku/>
        <w:wordWrap/>
        <w:overflowPunct/>
        <w:topLinePunct w:val="0"/>
        <w:autoSpaceDE/>
        <w:autoSpaceDN/>
        <w:bidi w:val="0"/>
        <w:adjustRightInd/>
        <w:spacing w:line="336" w:lineRule="auto"/>
        <w:ind w:left="-5"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3.3 投标有效期</w:t>
      </w:r>
    </w:p>
    <w:p w14:paraId="3F0F41A7">
      <w:pPr>
        <w:keepNext w:val="0"/>
        <w:keepLines w:val="0"/>
        <w:pageBreakBefore w:val="0"/>
        <w:widowControl w:val="0"/>
        <w:kinsoku/>
        <w:wordWrap/>
        <w:overflowPunct/>
        <w:topLinePunct w:val="0"/>
        <w:autoSpaceDE/>
        <w:autoSpaceDN/>
        <w:bidi w:val="0"/>
        <w:adjustRightInd/>
        <w:spacing w:line="336" w:lineRule="auto"/>
        <w:ind w:left="-5" w:right="68"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3.3.1 在投标人须知前附表规定的投标有效期内，投标人不得要求撤销或修改其投标文件。</w:t>
      </w:r>
    </w:p>
    <w:p w14:paraId="7F2A89D7">
      <w:pPr>
        <w:keepNext w:val="0"/>
        <w:keepLines w:val="0"/>
        <w:pageBreakBefore w:val="0"/>
        <w:widowControl w:val="0"/>
        <w:kinsoku/>
        <w:wordWrap/>
        <w:overflowPunct/>
        <w:topLinePunct w:val="0"/>
        <w:autoSpaceDE/>
        <w:autoSpaceDN/>
        <w:bidi w:val="0"/>
        <w:adjustRightInd/>
        <w:spacing w:line="336" w:lineRule="auto"/>
        <w:ind w:left="-5" w:right="68"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48256FDE">
      <w:pPr>
        <w:keepNext w:val="0"/>
        <w:keepLines w:val="0"/>
        <w:pageBreakBefore w:val="0"/>
        <w:widowControl w:val="0"/>
        <w:kinsoku/>
        <w:wordWrap/>
        <w:overflowPunct/>
        <w:topLinePunct w:val="0"/>
        <w:autoSpaceDE/>
        <w:autoSpaceDN/>
        <w:bidi w:val="0"/>
        <w:adjustRightInd/>
        <w:spacing w:line="336" w:lineRule="auto"/>
        <w:ind w:left="-5" w:right="68" w:firstLine="482" w:firstLineChars="200"/>
        <w:textAlignment w:val="auto"/>
        <w:rPr>
          <w:rFonts w:hint="eastAsia"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3.4 投标保证金</w:t>
      </w:r>
    </w:p>
    <w:p w14:paraId="6145FC27">
      <w:pPr>
        <w:keepNext w:val="0"/>
        <w:keepLines w:val="0"/>
        <w:pageBreakBefore w:val="0"/>
        <w:widowControl w:val="0"/>
        <w:kinsoku/>
        <w:wordWrap/>
        <w:overflowPunct/>
        <w:topLinePunct w:val="0"/>
        <w:autoSpaceDE/>
        <w:autoSpaceDN/>
        <w:bidi w:val="0"/>
        <w:adjustRightInd/>
        <w:spacing w:line="336" w:lineRule="auto"/>
        <w:ind w:left="-5" w:right="68" w:firstLine="482" w:firstLineChars="200"/>
        <w:textAlignment w:val="auto"/>
        <w:rPr>
          <w:rFonts w:hint="eastAsia"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lang w:val="en-US" w:eastAsia="zh-CN"/>
          <w14:textFill>
            <w14:solidFill>
              <w14:schemeClr w14:val="tx1"/>
            </w14:solidFill>
          </w14:textFill>
        </w:rPr>
        <w:t>详见</w:t>
      </w:r>
      <w:r>
        <w:rPr>
          <w:rFonts w:hint="eastAsia" w:ascii="宋体" w:hAnsi="宋体"/>
          <w:b/>
          <w:color w:val="000000" w:themeColor="text1"/>
          <w:sz w:val="24"/>
          <w:szCs w:val="24"/>
          <w:highlight w:val="none"/>
          <w14:textFill>
            <w14:solidFill>
              <w14:schemeClr w14:val="tx1"/>
            </w14:solidFill>
          </w14:textFill>
        </w:rPr>
        <w:t>投标人须知前附表</w:t>
      </w:r>
    </w:p>
    <w:p w14:paraId="6AF7398C">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2" w:firstLineChars="200"/>
        <w:textAlignment w:val="auto"/>
        <w:rPr>
          <w:rFonts w:hint="default" w:ascii="宋体" w:hAnsi="宋体" w:eastAsia="宋体"/>
          <w:b/>
          <w:bCs/>
          <w:color w:val="000000" w:themeColor="text1"/>
          <w:sz w:val="24"/>
          <w:szCs w:val="24"/>
          <w:highlight w:val="none"/>
          <w:lang w:val="en-US" w:eastAsia="zh-CN"/>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 xml:space="preserve">3.5 </w:t>
      </w:r>
      <w:r>
        <w:rPr>
          <w:rFonts w:hint="eastAsia" w:ascii="宋体" w:hAnsi="宋体"/>
          <w:b/>
          <w:bCs/>
          <w:color w:val="000000" w:themeColor="text1"/>
          <w:sz w:val="24"/>
          <w:szCs w:val="24"/>
          <w:highlight w:val="none"/>
          <w:lang w:val="en-US" w:eastAsia="zh-CN"/>
          <w14:textFill>
            <w14:solidFill>
              <w14:schemeClr w14:val="tx1"/>
            </w14:solidFill>
          </w14:textFill>
        </w:rPr>
        <w:t>资格审查资料</w:t>
      </w:r>
    </w:p>
    <w:p w14:paraId="1B8685E8">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2" w:firstLineChars="200"/>
        <w:textAlignment w:val="auto"/>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投标人投标文件中提供的以下资格审查资料</w:t>
      </w:r>
      <w:r>
        <w:rPr>
          <w:rFonts w:hint="eastAsia" w:ascii="宋体" w:hAnsi="宋体"/>
          <w:b/>
          <w:bCs/>
          <w:color w:val="000000" w:themeColor="text1"/>
          <w:sz w:val="24"/>
          <w:szCs w:val="24"/>
          <w:highlight w:val="none"/>
          <w:lang w:eastAsia="zh-CN"/>
          <w14:textFill>
            <w14:solidFill>
              <w14:schemeClr w14:val="tx1"/>
            </w14:solidFill>
          </w14:textFill>
        </w:rPr>
        <w:t>原件彩色扫描件</w:t>
      </w:r>
      <w:r>
        <w:rPr>
          <w:rFonts w:hint="eastAsia" w:ascii="宋体" w:hAnsi="宋体"/>
          <w:b/>
          <w:bCs/>
          <w:color w:val="000000" w:themeColor="text1"/>
          <w:sz w:val="24"/>
          <w:szCs w:val="24"/>
          <w:highlight w:val="none"/>
          <w14:textFill>
            <w14:solidFill>
              <w14:schemeClr w14:val="tx1"/>
            </w14:solidFill>
          </w14:textFill>
        </w:rPr>
        <w:t>必须真实有效，且须保证</w:t>
      </w:r>
      <w:r>
        <w:rPr>
          <w:rFonts w:hint="eastAsia" w:ascii="宋体" w:hAnsi="宋体"/>
          <w:b/>
          <w:bCs/>
          <w:color w:val="000000" w:themeColor="text1"/>
          <w:sz w:val="24"/>
          <w:szCs w:val="24"/>
          <w:highlight w:val="none"/>
          <w:lang w:eastAsia="zh-CN"/>
          <w14:textFill>
            <w14:solidFill>
              <w14:schemeClr w14:val="tx1"/>
            </w14:solidFill>
          </w14:textFill>
        </w:rPr>
        <w:t>原件彩色扫描件</w:t>
      </w:r>
      <w:r>
        <w:rPr>
          <w:rFonts w:hint="eastAsia" w:ascii="宋体" w:hAnsi="宋体"/>
          <w:b/>
          <w:bCs/>
          <w:color w:val="000000" w:themeColor="text1"/>
          <w:sz w:val="24"/>
          <w:szCs w:val="24"/>
          <w:highlight w:val="none"/>
          <w14:textFill>
            <w14:solidFill>
              <w14:schemeClr w14:val="tx1"/>
            </w14:solidFill>
          </w14:textFill>
        </w:rPr>
        <w:t>：与原件一致（原件不得涂改，如有涂改须加盖原签发单位公章）、完整、清晰可辨（钢印除外），出现不符合上述任一情况的，资格审查均不予通过。</w:t>
      </w:r>
    </w:p>
    <w:p w14:paraId="4035275D">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投标人编制投标文件时，必须</w:t>
      </w:r>
      <w:r>
        <w:rPr>
          <w:rFonts w:hint="eastAsia" w:ascii="宋体" w:hAnsi="宋体"/>
          <w:color w:val="000000" w:themeColor="text1"/>
          <w:sz w:val="24"/>
          <w:szCs w:val="24"/>
          <w:highlight w:val="none"/>
          <w:lang w:val="en-US" w:eastAsia="zh-CN"/>
          <w14:textFill>
            <w14:solidFill>
              <w14:schemeClr w14:val="tx1"/>
            </w14:solidFill>
          </w14:textFill>
        </w:rPr>
        <w:t>提供</w:t>
      </w:r>
      <w:r>
        <w:rPr>
          <w:rFonts w:hint="eastAsia" w:ascii="宋体" w:hAnsi="宋体"/>
          <w:color w:val="000000" w:themeColor="text1"/>
          <w:sz w:val="24"/>
          <w:szCs w:val="24"/>
          <w:highlight w:val="none"/>
          <w14:textFill>
            <w14:solidFill>
              <w14:schemeClr w14:val="tx1"/>
            </w14:solidFill>
          </w14:textFill>
        </w:rPr>
        <w:t>以下内容：</w:t>
      </w:r>
    </w:p>
    <w:p w14:paraId="56898849">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（1）投标人有效的营业执照（副本）。</w:t>
      </w:r>
    </w:p>
    <w:p w14:paraId="59AAA0EE">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（2）投标人有效的施工资质证书（副本）。</w:t>
      </w:r>
    </w:p>
    <w:p w14:paraId="059DAB92">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（3）投标人有效的企业安全生产许可证（副本）。</w:t>
      </w:r>
    </w:p>
    <w:p w14:paraId="1C87D016">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（4）投标项目负责人有效的安全生产考核合格证（B 类）。</w:t>
      </w:r>
    </w:p>
    <w:p w14:paraId="3DE3BABC">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（5）符合招标文件约定要求的项目负责人的建造师注册证书。</w:t>
      </w:r>
    </w:p>
    <w:p w14:paraId="55F57E68">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（6）企业基本开户许可证或企业银行基本存款账户开户基本信息加盖投标人单位公章。</w:t>
      </w:r>
    </w:p>
    <w:p w14:paraId="7320B324">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7</w:t>
      </w:r>
      <w:r>
        <w:rPr>
          <w:rFonts w:hint="eastAsia" w:ascii="宋体" w:hAnsi="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项目负责人及被授权委托人（如果有）养老保险证明；</w:t>
      </w:r>
    </w:p>
    <w:p w14:paraId="214F5D84">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8</w:t>
      </w:r>
      <w:r>
        <w:rPr>
          <w:rFonts w:hint="eastAsia" w:ascii="宋体" w:hAnsi="宋体"/>
          <w:color w:val="000000" w:themeColor="text1"/>
          <w:sz w:val="24"/>
          <w:szCs w:val="24"/>
          <w:highlight w:val="none"/>
          <w14:textFill>
            <w14:solidFill>
              <w14:schemeClr w14:val="tx1"/>
            </w14:solidFill>
          </w14:textFill>
        </w:rPr>
        <w:t>）招标文件要求的其它证明资料。</w:t>
      </w:r>
    </w:p>
    <w:p w14:paraId="1937BB7B">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3.6 投标文件的编制</w:t>
      </w:r>
    </w:p>
    <w:p w14:paraId="3E64770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3.6.1投标文件应按第六章“投标文件格式”进行编写，如有必要，可以增加附页，作为投标文件的组成部分。</w:t>
      </w:r>
    </w:p>
    <w:p w14:paraId="12F7ED4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3.6.2</w:t>
      </w:r>
      <w:r>
        <w:rPr>
          <w:rFonts w:hint="eastAsia" w:ascii="宋体" w:hAnsi="宋体" w:cs="宋体"/>
          <w:color w:val="000000" w:themeColor="text1"/>
          <w:sz w:val="24"/>
          <w:szCs w:val="24"/>
          <w:highlight w:val="none"/>
          <w14:textFill>
            <w14:solidFill>
              <w14:schemeClr w14:val="tx1"/>
            </w14:solidFill>
          </w14:textFill>
        </w:rPr>
        <w:t>投标文件的编制方法及要求</w:t>
      </w:r>
    </w:p>
    <w:p w14:paraId="2326EF3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3.6.2.1</w:t>
      </w:r>
      <w:r>
        <w:rPr>
          <w:rFonts w:hint="eastAsia" w:ascii="宋体" w:hAnsi="宋体" w:cs="宋体"/>
          <w:color w:val="000000" w:themeColor="text1"/>
          <w:sz w:val="24"/>
          <w:szCs w:val="24"/>
          <w:highlight w:val="none"/>
          <w:lang w:eastAsia="zh-CN"/>
          <w14:textFill>
            <w14:solidFill>
              <w14:schemeClr w14:val="tx1"/>
            </w14:solidFill>
          </w14:textFill>
        </w:rPr>
        <w:t>投标文件</w:t>
      </w:r>
      <w:r>
        <w:rPr>
          <w:rFonts w:hint="eastAsia" w:ascii="宋体" w:hAnsi="宋体" w:cs="宋体"/>
          <w:color w:val="000000" w:themeColor="text1"/>
          <w:sz w:val="24"/>
          <w:szCs w:val="24"/>
          <w:highlight w:val="none"/>
          <w14:textFill>
            <w14:solidFill>
              <w14:schemeClr w14:val="tx1"/>
            </w14:solidFill>
          </w14:textFill>
        </w:rPr>
        <w:t>按要求的内容和顺序编制，按要求签字盖章后生成PDF文档（PDF文档须清晰可辨，如因不清晰导致评标委员会无法评审，将被作为无效投标处理），使用压缩软件加密后发送至</w:t>
      </w:r>
      <w:r>
        <w:rPr>
          <w:rFonts w:hint="eastAsia" w:ascii="宋体" w:hAnsi="宋体" w:cs="宋体"/>
          <w:color w:val="000000" w:themeColor="text1"/>
          <w:sz w:val="24"/>
          <w:szCs w:val="24"/>
          <w:highlight w:val="none"/>
          <w:lang w:eastAsia="zh-CN"/>
          <w14:textFill>
            <w14:solidFill>
              <w14:schemeClr w14:val="tx1"/>
            </w14:solidFill>
          </w14:textFill>
        </w:rPr>
        <w:t>代理公司</w:t>
      </w:r>
      <w:r>
        <w:rPr>
          <w:rFonts w:hint="eastAsia" w:ascii="宋体" w:hAnsi="宋体" w:cs="宋体"/>
          <w:color w:val="000000" w:themeColor="text1"/>
          <w:sz w:val="24"/>
          <w:szCs w:val="24"/>
          <w:highlight w:val="none"/>
          <w14:textFill>
            <w14:solidFill>
              <w14:schemeClr w14:val="tx1"/>
            </w14:solidFill>
          </w14:textFill>
        </w:rPr>
        <w:t>指定的邮箱（</w:t>
      </w:r>
      <w:r>
        <w:rPr>
          <w:rFonts w:hint="eastAsia" w:ascii="宋体" w:hAnsi="宋体" w:cs="宋体"/>
          <w:color w:val="000000" w:themeColor="text1"/>
          <w:sz w:val="24"/>
          <w:szCs w:val="24"/>
          <w:highlight w:val="none"/>
          <w:lang w:val="en-US" w:eastAsia="zh-CN"/>
          <w14:textFill>
            <w14:solidFill>
              <w14:schemeClr w14:val="tx1"/>
            </w14:solidFill>
          </w14:textFill>
        </w:rPr>
        <w:t>396981817@qq.com</w:t>
      </w:r>
      <w:r>
        <w:rPr>
          <w:rFonts w:hint="eastAsia" w:ascii="宋体" w:hAnsi="宋体" w:cs="宋体"/>
          <w:color w:val="000000" w:themeColor="text1"/>
          <w:sz w:val="24"/>
          <w:szCs w:val="24"/>
          <w:highlight w:val="none"/>
          <w14:textFill>
            <w14:solidFill>
              <w14:schemeClr w14:val="tx1"/>
            </w14:solidFill>
          </w14:textFill>
        </w:rPr>
        <w:t>），压缩包里面有且仅有一个文件。邮箱发送主题须标明“(项目名称)</w:t>
      </w:r>
      <w:r>
        <w:rPr>
          <w:rFonts w:hint="eastAsia" w:ascii="宋体" w:hAnsi="宋体" w:cs="宋体"/>
          <w:color w:val="000000" w:themeColor="text1"/>
          <w:sz w:val="24"/>
          <w:szCs w:val="24"/>
          <w:highlight w:val="none"/>
          <w:lang w:eastAsia="zh-CN"/>
          <w14:textFill>
            <w14:solidFill>
              <w14:schemeClr w14:val="tx1"/>
            </w14:solidFill>
          </w14:textFill>
        </w:rPr>
        <w:t>投标文件</w:t>
      </w:r>
      <w:r>
        <w:rPr>
          <w:rFonts w:hint="eastAsia" w:ascii="宋体" w:hAnsi="宋体" w:cs="宋体"/>
          <w:color w:val="000000" w:themeColor="text1"/>
          <w:sz w:val="24"/>
          <w:szCs w:val="24"/>
          <w:highlight w:val="none"/>
          <w14:textFill>
            <w14:solidFill>
              <w14:schemeClr w14:val="tx1"/>
            </w14:solidFill>
          </w14:textFill>
        </w:rPr>
        <w:t>”字样，压缩包</w:t>
      </w:r>
      <w:r>
        <w:rPr>
          <w:rFonts w:hint="eastAsia" w:ascii="宋体" w:hAnsi="宋体" w:cs="宋体"/>
          <w:color w:val="000000" w:themeColor="text1"/>
          <w:sz w:val="24"/>
          <w:szCs w:val="24"/>
          <w:highlight w:val="none"/>
          <w:lang w:val="en-US" w:eastAsia="zh-CN"/>
          <w14:textFill>
            <w14:solidFill>
              <w14:schemeClr w14:val="tx1"/>
            </w14:solidFill>
          </w14:textFill>
        </w:rPr>
        <w:t>与</w:t>
      </w:r>
      <w:r>
        <w:rPr>
          <w:rFonts w:hint="eastAsia" w:ascii="宋体" w:hAnsi="宋体" w:cs="宋体"/>
          <w:color w:val="000000" w:themeColor="text1"/>
          <w:sz w:val="24"/>
          <w:szCs w:val="24"/>
          <w:highlight w:val="none"/>
          <w14:textFill>
            <w14:solidFill>
              <w14:schemeClr w14:val="tx1"/>
            </w14:solidFill>
          </w14:textFill>
        </w:rPr>
        <w:t>PDF文件名称须标明“</w:t>
      </w:r>
      <w:r>
        <w:rPr>
          <w:rFonts w:hint="eastAsia" w:ascii="宋体" w:hAnsi="宋体" w:cs="宋体"/>
          <w:color w:val="000000" w:themeColor="text1"/>
          <w:sz w:val="24"/>
          <w:szCs w:val="24"/>
          <w:highlight w:val="none"/>
          <w:lang w:eastAsia="zh-CN"/>
          <w14:textFill>
            <w14:solidFill>
              <w14:schemeClr w14:val="tx1"/>
            </w14:solidFill>
          </w14:textFill>
        </w:rPr>
        <w:t>投标人简称(不超过五个字）</w:t>
      </w:r>
      <w:r>
        <w:rPr>
          <w:rFonts w:hint="eastAsia" w:ascii="宋体" w:hAnsi="宋体" w:cs="宋体"/>
          <w:color w:val="000000" w:themeColor="text1"/>
          <w:sz w:val="24"/>
          <w:szCs w:val="24"/>
          <w:highlight w:val="none"/>
          <w14:textFill>
            <w14:solidFill>
              <w14:schemeClr w14:val="tx1"/>
            </w14:solidFill>
          </w14:textFill>
        </w:rPr>
        <w:t>+(项目名称)</w:t>
      </w:r>
      <w:r>
        <w:rPr>
          <w:rFonts w:hint="eastAsia" w:ascii="宋体" w:hAnsi="宋体" w:cs="宋体"/>
          <w:color w:val="000000" w:themeColor="text1"/>
          <w:sz w:val="24"/>
          <w:szCs w:val="24"/>
          <w:highlight w:val="none"/>
          <w:lang w:eastAsia="zh-CN"/>
          <w14:textFill>
            <w14:solidFill>
              <w14:schemeClr w14:val="tx1"/>
            </w14:solidFill>
          </w14:textFill>
        </w:rPr>
        <w:t>投标文件</w:t>
      </w:r>
      <w:r>
        <w:rPr>
          <w:rFonts w:hint="eastAsia" w:ascii="宋体" w:hAnsi="宋体" w:cs="宋体"/>
          <w:color w:val="000000" w:themeColor="text1"/>
          <w:sz w:val="24"/>
          <w:szCs w:val="24"/>
          <w:highlight w:val="none"/>
          <w14:textFill>
            <w14:solidFill>
              <w14:schemeClr w14:val="tx1"/>
            </w14:solidFill>
          </w14:textFill>
        </w:rPr>
        <w:t>”。</w:t>
      </w:r>
    </w:p>
    <w:p w14:paraId="5E5556D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投标单位中标后需提供纸质投标文件</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按要求装订，</w:t>
      </w:r>
      <w:r>
        <w:rPr>
          <w:rFonts w:hint="eastAsia" w:ascii="宋体" w:hAnsi="宋体" w:cs="宋体"/>
          <w:color w:val="000000" w:themeColor="text1"/>
          <w:sz w:val="24"/>
          <w:szCs w:val="24"/>
          <w:highlight w:val="none"/>
          <w14:textFill>
            <w14:solidFill>
              <w14:schemeClr w14:val="tx1"/>
            </w14:solidFill>
          </w14:textFill>
        </w:rPr>
        <w:t>一</w:t>
      </w:r>
      <w:r>
        <w:rPr>
          <w:rFonts w:hint="eastAsia" w:ascii="宋体" w:hAnsi="宋体" w:cs="宋体"/>
          <w:color w:val="000000" w:themeColor="text1"/>
          <w:sz w:val="24"/>
          <w:szCs w:val="24"/>
          <w:highlight w:val="none"/>
          <w:lang w:val="en-US" w:eastAsia="zh-CN"/>
          <w14:textFill>
            <w14:solidFill>
              <w14:schemeClr w14:val="tx1"/>
            </w14:solidFill>
          </w14:textFill>
        </w:rPr>
        <w:t>正三副</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eastAsia="zh-CN"/>
          <w14:textFill>
            <w14:solidFill>
              <w14:schemeClr w14:val="tx1"/>
            </w14:solidFill>
          </w14:textFill>
        </w:rPr>
        <w:t>）</w:t>
      </w:r>
    </w:p>
    <w:p w14:paraId="3EA4663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3.6.</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14:textFill>
            <w14:solidFill>
              <w14:schemeClr w14:val="tx1"/>
            </w14:solidFill>
          </w14:textFill>
        </w:rPr>
        <w:t xml:space="preserve"> 投标文件应当对招标文件有关工期、投标有效期、质量要求、技术标准和要求、招标范围等实质性内容作出响应。</w:t>
      </w:r>
    </w:p>
    <w:p w14:paraId="0F403B01">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4 投标文件编制的其他要求：</w:t>
      </w:r>
    </w:p>
    <w:p w14:paraId="5967633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4.1</w:t>
      </w:r>
      <w:r>
        <w:rPr>
          <w:rFonts w:hint="eastAsia" w:ascii="宋体" w:hAnsi="宋体" w:cs="宋体"/>
          <w:color w:val="000000" w:themeColor="text1"/>
          <w:sz w:val="24"/>
          <w:szCs w:val="24"/>
          <w:highlight w:val="none"/>
          <w14:textFill>
            <w14:solidFill>
              <w14:schemeClr w14:val="tx1"/>
            </w14:solidFill>
          </w14:textFill>
        </w:rPr>
        <w:t>招标文件提供的表式投标人应使用，但表式可以按同样格式拓展。</w:t>
      </w:r>
    </w:p>
    <w:p w14:paraId="7B857B1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4.2 投标文件的递交</w:t>
      </w:r>
    </w:p>
    <w:p w14:paraId="2C6544A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4.2.1</w:t>
      </w:r>
      <w:r>
        <w:rPr>
          <w:rFonts w:hint="eastAsia" w:ascii="宋体" w:hAnsi="宋体" w:cs="宋体"/>
          <w:color w:val="000000" w:themeColor="text1"/>
          <w:sz w:val="24"/>
          <w:szCs w:val="24"/>
          <w:highlight w:val="none"/>
          <w14:textFill>
            <w14:solidFill>
              <w14:schemeClr w14:val="tx1"/>
            </w14:solidFill>
          </w14:textFill>
        </w:rPr>
        <w:t>投标人必须在招标文件规定的投标文件递交截止时间前完成投标文件的递交。</w:t>
      </w:r>
    </w:p>
    <w:p w14:paraId="3B4D83C3">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4.2.2</w:t>
      </w:r>
      <w:r>
        <w:rPr>
          <w:rFonts w:hint="eastAsia" w:ascii="宋体" w:hAnsi="宋体" w:cs="宋体"/>
          <w:color w:val="000000" w:themeColor="text1"/>
          <w:sz w:val="24"/>
          <w:szCs w:val="24"/>
          <w:highlight w:val="none"/>
          <w14:textFill>
            <w14:solidFill>
              <w14:schemeClr w14:val="tx1"/>
            </w14:solidFill>
          </w14:textFill>
        </w:rPr>
        <w:t>投标人递交投标文件的地点：见投标须知前附表。</w:t>
      </w:r>
    </w:p>
    <w:p w14:paraId="378E024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4.2.3</w:t>
      </w:r>
      <w:r>
        <w:rPr>
          <w:rFonts w:hint="eastAsia" w:ascii="宋体" w:hAnsi="宋体" w:cs="宋体"/>
          <w:color w:val="000000" w:themeColor="text1"/>
          <w:sz w:val="24"/>
          <w:szCs w:val="24"/>
          <w:highlight w:val="none"/>
          <w14:textFill>
            <w14:solidFill>
              <w14:schemeClr w14:val="tx1"/>
            </w14:solidFill>
          </w14:textFill>
        </w:rPr>
        <w:t>投标单位因故无法参加开标的，须在开标截止日前以书面形式向招标代理出具情况说明，否则视为恶意投标，六个月内不得参加</w:t>
      </w:r>
      <w:r>
        <w:rPr>
          <w:rFonts w:hint="eastAsia" w:ascii="宋体" w:hAnsi="宋体" w:cs="宋体"/>
          <w:color w:val="000000" w:themeColor="text1"/>
          <w:sz w:val="24"/>
          <w:szCs w:val="24"/>
          <w:highlight w:val="none"/>
          <w:lang w:val="en-US" w:eastAsia="zh-CN"/>
          <w14:textFill>
            <w14:solidFill>
              <w14:schemeClr w14:val="tx1"/>
            </w14:solidFill>
          </w14:textFill>
        </w:rPr>
        <w:t>响水县</w:t>
      </w:r>
      <w:r>
        <w:rPr>
          <w:rFonts w:hint="eastAsia" w:ascii="宋体" w:hAnsi="宋体" w:cs="宋体"/>
          <w:color w:val="000000" w:themeColor="text1"/>
          <w:sz w:val="24"/>
          <w:szCs w:val="24"/>
          <w:highlight w:val="none"/>
          <w14:textFill>
            <w14:solidFill>
              <w14:schemeClr w14:val="tx1"/>
            </w14:solidFill>
          </w14:textFill>
        </w:rPr>
        <w:t>招投标项目。</w:t>
      </w:r>
    </w:p>
    <w:p w14:paraId="0A9E960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4.3 投标文件的修改与撤回</w:t>
      </w:r>
    </w:p>
    <w:p w14:paraId="2959E6C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截止时间之前，投标人可对所递交的投标文件以书面的形式进行修改或撤回。修改的内容作为投标文件的组成部分。修改的投标文件应按招标文件的相关规定进行编制、盖章、签字、密封、标识和递交，并标明“修改”字样。</w:t>
      </w:r>
    </w:p>
    <w:p w14:paraId="30FE2490">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4.4</w:t>
      </w:r>
      <w:r>
        <w:rPr>
          <w:rFonts w:hint="eastAsia" w:ascii="宋体" w:hAnsi="宋体" w:cs="宋体"/>
          <w:color w:val="000000" w:themeColor="text1"/>
          <w:sz w:val="24"/>
          <w:szCs w:val="24"/>
          <w:highlight w:val="none"/>
          <w14:textFill>
            <w14:solidFill>
              <w14:schemeClr w14:val="tx1"/>
            </w14:solidFill>
          </w14:textFill>
        </w:rPr>
        <w:t>投标文件的</w:t>
      </w:r>
      <w:r>
        <w:rPr>
          <w:rFonts w:hint="eastAsia" w:ascii="宋体" w:hAnsi="宋体" w:cs="宋体"/>
          <w:color w:val="000000" w:themeColor="text1"/>
          <w:sz w:val="24"/>
          <w:szCs w:val="24"/>
          <w:highlight w:val="none"/>
          <w:lang w:val="en-US" w:eastAsia="zh-CN"/>
          <w14:textFill>
            <w14:solidFill>
              <w14:schemeClr w14:val="tx1"/>
            </w14:solidFill>
          </w14:textFill>
        </w:rPr>
        <w:t>解密</w:t>
      </w:r>
    </w:p>
    <w:p w14:paraId="3358219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投标</w:t>
      </w:r>
      <w:r>
        <w:rPr>
          <w:rFonts w:hint="eastAsia" w:ascii="宋体" w:hAnsi="宋体" w:cs="宋体"/>
          <w:color w:val="000000" w:themeColor="text1"/>
          <w:sz w:val="24"/>
          <w:szCs w:val="24"/>
          <w:highlight w:val="none"/>
          <w14:textFill>
            <w14:solidFill>
              <w14:schemeClr w14:val="tx1"/>
            </w14:solidFill>
          </w14:textFill>
        </w:rPr>
        <w:t>文件的</w:t>
      </w:r>
      <w:r>
        <w:rPr>
          <w:rFonts w:hint="eastAsia" w:ascii="宋体" w:hAnsi="宋体" w:cs="宋体"/>
          <w:color w:val="000000" w:themeColor="text1"/>
          <w:sz w:val="24"/>
          <w:szCs w:val="24"/>
          <w:highlight w:val="none"/>
          <w:lang w:val="en-US" w:eastAsia="zh-CN"/>
          <w14:textFill>
            <w14:solidFill>
              <w14:schemeClr w14:val="tx1"/>
            </w14:solidFill>
          </w14:textFill>
        </w:rPr>
        <w:t>压缩包</w:t>
      </w:r>
      <w:r>
        <w:rPr>
          <w:rFonts w:hint="eastAsia" w:ascii="宋体" w:hAnsi="宋体" w:cs="宋体"/>
          <w:color w:val="000000" w:themeColor="text1"/>
          <w:sz w:val="24"/>
          <w:szCs w:val="24"/>
          <w:highlight w:val="none"/>
          <w14:textFill>
            <w14:solidFill>
              <w14:schemeClr w14:val="tx1"/>
            </w14:solidFill>
          </w14:textFill>
        </w:rPr>
        <w:t>密码在</w:t>
      </w:r>
      <w:r>
        <w:rPr>
          <w:rFonts w:hint="eastAsia" w:ascii="宋体" w:hAnsi="宋体" w:cs="宋体"/>
          <w:color w:val="000000" w:themeColor="text1"/>
          <w:sz w:val="24"/>
          <w:szCs w:val="24"/>
          <w:highlight w:val="none"/>
          <w:lang w:val="en-US" w:eastAsia="zh-CN"/>
          <w14:textFill>
            <w14:solidFill>
              <w14:schemeClr w14:val="tx1"/>
            </w14:solidFill>
          </w14:textFill>
        </w:rPr>
        <w:t>投标截止时间后15分钟内</w:t>
      </w:r>
      <w:r>
        <w:rPr>
          <w:rFonts w:hint="eastAsia" w:ascii="宋体" w:hAnsi="宋体" w:cs="宋体"/>
          <w:color w:val="000000" w:themeColor="text1"/>
          <w:sz w:val="24"/>
          <w:szCs w:val="24"/>
          <w:highlight w:val="none"/>
          <w14:textFill>
            <w14:solidFill>
              <w14:schemeClr w14:val="tx1"/>
            </w14:solidFill>
          </w14:textFill>
        </w:rPr>
        <w:t>发送至招标人指定邮箱（邮件主题为：投标人简称(不超过五个字）+(项目名称)</w:t>
      </w:r>
      <w:r>
        <w:rPr>
          <w:rFonts w:hint="eastAsia" w:ascii="宋体" w:hAnsi="宋体" w:cs="宋体"/>
          <w:color w:val="000000" w:themeColor="text1"/>
          <w:sz w:val="24"/>
          <w:szCs w:val="24"/>
          <w:highlight w:val="none"/>
          <w:lang w:eastAsia="zh-CN"/>
          <w14:textFill>
            <w14:solidFill>
              <w14:schemeClr w14:val="tx1"/>
            </w14:solidFill>
          </w14:textFill>
        </w:rPr>
        <w:t>投标文件。</w:t>
      </w:r>
    </w:p>
    <w:p w14:paraId="26BCF121">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5 开标</w:t>
      </w:r>
    </w:p>
    <w:p w14:paraId="3D1EFCF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 开标时间、地点和投标人参会代表</w:t>
      </w:r>
    </w:p>
    <w:p w14:paraId="188EBF0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5.1.1 招标人在投标人须知前附表规定的时间和地点公开开标；</w:t>
      </w:r>
    </w:p>
    <w:p w14:paraId="2D10CC1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5.1.2 参加开标会的投标人代表的要求见投标人须知前附表。未按要求派相关人员参加开标的，其投标将被拒绝。</w:t>
      </w:r>
    </w:p>
    <w:p w14:paraId="42ED70E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5.2 开标程序</w:t>
      </w:r>
    </w:p>
    <w:p w14:paraId="74F7623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5.2.1 招标人按下列程序进行开标：</w:t>
      </w:r>
    </w:p>
    <w:p w14:paraId="7B029CD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（1）宣布开标纪律；</w:t>
      </w:r>
    </w:p>
    <w:p w14:paraId="72D5A5B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（2）宣布招标人、招标代理机构、招投标监管部门、交易中心出席开标会的有关人员姓名；</w:t>
      </w:r>
    </w:p>
    <w:p w14:paraId="25F0F2F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（3）响水县公证处工作人员公布在投标截止时间前递交投标文件的投标人数量以及投标保证金缴纳情况；</w:t>
      </w:r>
    </w:p>
    <w:p w14:paraId="0C0B177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（4）招标人逐一核验招标文件要求参加开标会的投标人人员身份；</w:t>
      </w:r>
    </w:p>
    <w:p w14:paraId="3CBAE0B0">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（5）当众唱标，宣读投标人名称、标段名称、投标报价、质量标准、工期、项目负责人及其他内容；</w:t>
      </w:r>
    </w:p>
    <w:p w14:paraId="5A86F67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（6）出席开标会议的相关人员在开标记录上签字确认，未签字的视为认同；</w:t>
      </w:r>
    </w:p>
    <w:p w14:paraId="508B72B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（7）开标结束。</w:t>
      </w:r>
    </w:p>
    <w:p w14:paraId="57D31E7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 不予接受的投标文件</w:t>
      </w:r>
    </w:p>
    <w:p w14:paraId="0F1539F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5.3.1 投标文件有下列情形之一的，招标人不予接受：</w:t>
      </w:r>
    </w:p>
    <w:p w14:paraId="5685E52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5.3.1.1 投标文件逾期送达或者未送达指定地点的。</w:t>
      </w:r>
    </w:p>
    <w:p w14:paraId="1AB0C6D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5.3.1.2 未按照招标文件的要求予以密封的。</w:t>
      </w:r>
    </w:p>
    <w:p w14:paraId="782B27B2">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6 评标</w:t>
      </w:r>
    </w:p>
    <w:p w14:paraId="0232C2C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 评标委员会</w:t>
      </w:r>
    </w:p>
    <w:p w14:paraId="6A05FBD1">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6.1.1 评标由招标人依法组建的评标委员会负责。评标委员会成员人数以及技术、经济等方面专家的确定方式见“投标人须知前附表”。</w:t>
      </w:r>
    </w:p>
    <w:p w14:paraId="3899AC8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6.1.2 评标委员会成员有下列情形之一的，应当回避：</w:t>
      </w:r>
    </w:p>
    <w:p w14:paraId="45F3BCE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（1）投标人或投标人的主要负责人的近亲属；</w:t>
      </w:r>
    </w:p>
    <w:p w14:paraId="46A7430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（2）项目主管部门或者行政监督部门的人员；</w:t>
      </w:r>
    </w:p>
    <w:p w14:paraId="63B98CE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（3）与投标人有经济利益关系，可能影响对投标公正评审的；</w:t>
      </w:r>
    </w:p>
    <w:p w14:paraId="7F98F86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（4）曾因在招标、评标以及其他与招标投标有关活动中从事违法行为而受过行政处罚或刑事处罚的。</w:t>
      </w:r>
    </w:p>
    <w:p w14:paraId="62D63B4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6.2 评标原则</w:t>
      </w:r>
    </w:p>
    <w:p w14:paraId="2F0801D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评标活动遵循公平、公正、科学和择优的原则。</w:t>
      </w:r>
    </w:p>
    <w:p w14:paraId="3CB6BBF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6.3 评标</w:t>
      </w:r>
    </w:p>
    <w:p w14:paraId="10482771">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评标委员会按照第三章“评标办法”规定的方法、评审因素、标准和程序对投标文件进行评审。第三章“评标办法”没有规定的方法、评审因素和标准，不作为评标依据。</w:t>
      </w:r>
    </w:p>
    <w:p w14:paraId="565A62B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6.4 评标结果公示</w:t>
      </w:r>
    </w:p>
    <w:p w14:paraId="467A5D0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6.4.1招标人在收到评标报告之日起3日内在本招标项目招标公告发布的同一媒介发布评标结果公示，公示期不少于3日。</w:t>
      </w:r>
    </w:p>
    <w:p w14:paraId="051FCF43">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6.4.2 投标人或者其他利害关系人对评标结果有异议的，应当在公示期间提出。招标人自收到异议之日起3日内作出答复。对招标人答复不满意或招标人拒不答复的，投标人可按照本章第8.5条的规定程序向有关行政监督部门投诉。</w:t>
      </w:r>
    </w:p>
    <w:p w14:paraId="5DA64F06">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7 合同授予</w:t>
      </w:r>
    </w:p>
    <w:p w14:paraId="07CA3038">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7.1 定标方式</w:t>
      </w:r>
    </w:p>
    <w:p w14:paraId="1A50F79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招标人依据评标委员会推荐的中标候选人依法确定中标人，评标委员会推荐中标候选人的人数见第三章“评标办法”。评标委员会推荐中标候选人的人数见“投标人须知前附表”。</w:t>
      </w:r>
    </w:p>
    <w:p w14:paraId="0D48268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7.2 中标通知及中标结果公告</w:t>
      </w:r>
    </w:p>
    <w:p w14:paraId="1D645C3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7.2.1 评标结果公示期满无异议或投诉的，招标人按规定的格式以书面形式向中标人发出中标通知书。</w:t>
      </w:r>
    </w:p>
    <w:p w14:paraId="13AA5E6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 履约保证金</w:t>
      </w:r>
    </w:p>
    <w:p w14:paraId="6DA239A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7.3.1 在签订合同前，中标人应按“投标人须知前附表”规定的金额、担保形式和招标文件第四章“合同条款及格式”规定的履约担保格式向招标人提交履约保证金。联合体中标的，其履约保证金由牵头人递交，并应符合“投标人须知前附表”规定的金额、担保形式和招标文件第四章“合同条款及格式”规定的履约担保格式要求。</w:t>
      </w:r>
    </w:p>
    <w:p w14:paraId="4162BD81">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7.3.2 中标人不能按本章第7.3.1项要求提交履约保证金的，视为放弃中标，其投标保证金不予退还，给招标人造成的损失超过投标保证金数额的，中标人还应当对超过部分予以赔偿。</w:t>
      </w:r>
    </w:p>
    <w:p w14:paraId="3020B2E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7.3.3 中标人存在串通投标，以他人名义投标或者以其他方式弄虚作假方式骗取中标，将中标项目转让或肢解转让给他人，合同主要条款与招标文件、投标文件内容不一致或者订立背离合同实质性内容协议的，拖欠农民工工资、材料款引发信访，因管理不善、实力不够拖延工期等违法失信行为的，按不低于10%比例扣收履约保证金，具体扣收比例，由县招标办根据违法失信具体情况，商招标人确定。</w:t>
      </w:r>
    </w:p>
    <w:p w14:paraId="6FAE53B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7.3.4 因中标人原因，延误工期的，按延误工期比例扣收履约保证金。</w:t>
      </w:r>
    </w:p>
    <w:p w14:paraId="77515D2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 签订合同</w:t>
      </w:r>
    </w:p>
    <w:p w14:paraId="07F1288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7.4.1 招标人和中标人应当在投标有效期内以及中标通知书发出之日起15天内，根据招标文件和中标人的投标文件订立书面合同。中标人无正当理由拒签合同的，招标人取消其中标资格，其投标保证金不予退还；给招标人造成的损失超过投标保证金数额的，中标人还应当对超过部分予以赔偿。对依法必须进行招标的项目的中标人，由有关行政监督部门责令改正。</w:t>
      </w:r>
    </w:p>
    <w:p w14:paraId="1512645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7.4.2 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38B0576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7.4.3 发出中标通知书后，招标人无正当理由拒签合同的，由有关行政监督部门给予警告，责令改正。同时招标人向中标人退还投标保证金；给中标人造成损失的，还应当赔偿损失。</w:t>
      </w:r>
    </w:p>
    <w:p w14:paraId="20CCADD7">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8 纪律和监督</w:t>
      </w:r>
    </w:p>
    <w:p w14:paraId="7AD9E23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8.1 对招标人的纪律要求</w:t>
      </w:r>
    </w:p>
    <w:p w14:paraId="65B7B4D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招标人不得泄漏招标投标活动中应当保密的情况和资料，不得与投标人串通损害国家利益、社会公共利益或者他人合法权益。</w:t>
      </w:r>
    </w:p>
    <w:p w14:paraId="601ADD8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8.2 对投标人的纪律要求</w:t>
      </w:r>
    </w:p>
    <w:p w14:paraId="768EAB10">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03FAED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8.3 对评标委员会成员的纪律要求</w:t>
      </w:r>
    </w:p>
    <w:p w14:paraId="1BF66D3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529646E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8.4 对与评标活动有关的工作人员的纪律要求</w:t>
      </w:r>
    </w:p>
    <w:p w14:paraId="68657EE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63D759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 异议与投诉</w:t>
      </w:r>
    </w:p>
    <w:p w14:paraId="0F5BE93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8.5.1异议</w:t>
      </w:r>
    </w:p>
    <w:p w14:paraId="50A05188">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投标人或者其他利害关系人对招标文件有异议的，应在投标人须知前附表规定的时间前提出。招标人应当自收到异议之日起3日内作出答复；作出答复前，应当暂停招标投标活动。</w:t>
      </w:r>
    </w:p>
    <w:p w14:paraId="03420EE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投标人对开标有异议的，应当在开标现场提出，招标人应当当场作出答复，并制作记录。</w:t>
      </w:r>
    </w:p>
    <w:p w14:paraId="22BFBD0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投标人或者其他利害关系人对依法必须进行招标的项目的评标结果有异议的，应当在中标候选人公示期间提出。</w:t>
      </w:r>
    </w:p>
    <w:p w14:paraId="53B977F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8.5.2投诉</w:t>
      </w:r>
    </w:p>
    <w:p w14:paraId="509793F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和其他利害关系人认为本次招标活动违反法律、法规和规章规定的，可以在知道或者应当知道之日起十日内向有管辖权的建设工程招标投标行政监督部门提出书面投诉。投诉应当有明确的请求和必要的证明材料。就第7.5.1项规定事项提出投诉的，应先向招标人提出异议。</w:t>
      </w:r>
    </w:p>
    <w:p w14:paraId="2E33C5C6">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9 解释权</w:t>
      </w:r>
    </w:p>
    <w:p w14:paraId="302F31D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p w14:paraId="0BC6E156">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10 招标人补充的其他内容</w:t>
      </w:r>
    </w:p>
    <w:p w14:paraId="6FD9B73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10.1、见“投标人须知前附表”。</w:t>
      </w:r>
    </w:p>
    <w:p w14:paraId="65A2065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10.2招标项目中的专项工程暂估，必须经招标人确定才可实施，否则发包人不予认可。</w:t>
      </w:r>
    </w:p>
    <w:p w14:paraId="16C681B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 投标有效期</w:t>
      </w:r>
    </w:p>
    <w:p w14:paraId="7DF9FC33">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3.3.1 在投标人须知前附表规定的投标有效期内，投标人不得要求撤销或修改其投标文件。</w:t>
      </w:r>
    </w:p>
    <w:p w14:paraId="37992F9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0120006E">
      <w:pPr>
        <w:shd w:val="clear" w:color="auto" w:fill="FFFFFF"/>
        <w:tabs>
          <w:tab w:val="left" w:pos="425"/>
        </w:tabs>
        <w:adjustRightInd w:val="0"/>
        <w:snapToGrid w:val="0"/>
        <w:spacing w:before="120" w:beforeLines="50" w:after="120" w:afterLines="50"/>
        <w:ind w:firstLine="640"/>
        <w:jc w:val="right"/>
        <w:rPr>
          <w:rFonts w:ascii="宋体" w:hAnsi="宋体" w:cs="宋体"/>
          <w:color w:val="000000" w:themeColor="text1"/>
          <w:szCs w:val="21"/>
          <w:highlight w:val="none"/>
          <w14:textFill>
            <w14:solidFill>
              <w14:schemeClr w14:val="tx1"/>
            </w14:solidFill>
          </w14:textFill>
        </w:rPr>
        <w:sectPr>
          <w:footerReference r:id="rId5" w:type="first"/>
          <w:footerReference r:id="rId4" w:type="default"/>
          <w:pgSz w:w="11906" w:h="16838"/>
          <w:pgMar w:top="1361" w:right="1497" w:bottom="1361" w:left="1497" w:header="850" w:footer="992" w:gutter="0"/>
          <w:pgNumType w:fmt="decimal" w:start="1"/>
          <w:cols w:space="0" w:num="1"/>
          <w:titlePg/>
          <w:rtlGutter w:val="0"/>
          <w:docGrid w:linePitch="312" w:charSpace="0"/>
        </w:sectPr>
      </w:pPr>
    </w:p>
    <w:p w14:paraId="6CA5A4D8">
      <w:pPr>
        <w:pStyle w:val="2"/>
        <w:keepNext/>
        <w:keepLines/>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Arial"/>
          <w:b/>
          <w:color w:val="000000" w:themeColor="text1"/>
          <w:szCs w:val="21"/>
          <w:highlight w:val="none"/>
          <w:lang w:eastAsia="zh-CN"/>
          <w14:textFill>
            <w14:solidFill>
              <w14:schemeClr w14:val="tx1"/>
            </w14:solidFill>
          </w14:textFill>
        </w:rPr>
      </w:pPr>
      <w:bookmarkStart w:id="7" w:name="_Toc6447"/>
      <w:r>
        <w:rPr>
          <w:rFonts w:hint="eastAsia" w:ascii="宋体" w:hAnsi="宋体" w:eastAsia="宋体"/>
          <w:b/>
          <w:bCs/>
          <w:color w:val="000000" w:themeColor="text1"/>
          <w:sz w:val="32"/>
          <w:szCs w:val="32"/>
          <w:highlight w:val="none"/>
          <w14:textFill>
            <w14:solidFill>
              <w14:schemeClr w14:val="tx1"/>
            </w14:solidFill>
          </w14:textFill>
        </w:rPr>
        <w:t>第三章  评标办法</w:t>
      </w:r>
      <w:bookmarkEnd w:id="7"/>
      <w:r>
        <w:rPr>
          <w:rFonts w:hint="eastAsia" w:ascii="宋体" w:hAnsi="宋体"/>
          <w:b/>
          <w:bCs/>
          <w:color w:val="000000" w:themeColor="text1"/>
          <w:sz w:val="32"/>
          <w:szCs w:val="32"/>
          <w:highlight w:val="none"/>
          <w:lang w:eastAsia="zh-CN"/>
          <w14:textFill>
            <w14:solidFill>
              <w14:schemeClr w14:val="tx1"/>
            </w14:solidFill>
          </w14:textFill>
        </w:rPr>
        <w:t>（</w:t>
      </w:r>
      <w:r>
        <w:rPr>
          <w:rFonts w:hint="eastAsia" w:ascii="宋体" w:hAnsi="宋体"/>
          <w:b/>
          <w:bCs/>
          <w:color w:val="000000" w:themeColor="text1"/>
          <w:sz w:val="32"/>
          <w:szCs w:val="32"/>
          <w:highlight w:val="none"/>
          <w:lang w:val="en-US" w:eastAsia="zh-CN"/>
          <w14:textFill>
            <w14:solidFill>
              <w14:schemeClr w14:val="tx1"/>
            </w14:solidFill>
          </w14:textFill>
        </w:rPr>
        <w:t>合理低价法</w:t>
      </w:r>
      <w:r>
        <w:rPr>
          <w:rFonts w:hint="eastAsia" w:ascii="宋体" w:hAnsi="宋体"/>
          <w:b/>
          <w:bCs/>
          <w:color w:val="000000" w:themeColor="text1"/>
          <w:sz w:val="32"/>
          <w:szCs w:val="32"/>
          <w:highlight w:val="none"/>
          <w:lang w:eastAsia="zh-CN"/>
          <w14:textFill>
            <w14:solidFill>
              <w14:schemeClr w14:val="tx1"/>
            </w14:solidFill>
          </w14:textFill>
        </w:rPr>
        <w:t>）</w:t>
      </w:r>
    </w:p>
    <w:p w14:paraId="0B49775B">
      <w:pPr>
        <w:widowControl w:val="0"/>
        <w:tabs>
          <w:tab w:val="left" w:pos="632"/>
        </w:tabs>
        <w:spacing w:line="360" w:lineRule="auto"/>
        <w:ind w:firstLine="480" w:firstLineChars="200"/>
        <w:jc w:val="both"/>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本次招标评标方法为“合理低价法”。指</w:t>
      </w:r>
      <w:r>
        <w:rPr>
          <w:rFonts w:hint="eastAsia" w:ascii="宋体" w:hAnsi="宋体" w:eastAsia="宋体" w:cs="宋体"/>
          <w:color w:val="000000" w:themeColor="text1"/>
          <w:kern w:val="2"/>
          <w:sz w:val="24"/>
          <w:szCs w:val="24"/>
          <w:highlight w:val="none"/>
          <w:lang w:val="zh-CN" w:eastAsia="zh-CN" w:bidi="ar-SA"/>
          <w14:textFill>
            <w14:solidFill>
              <w14:schemeClr w14:val="tx1"/>
            </w14:solidFill>
          </w14:textFill>
        </w:rPr>
        <w:t>投标文件满足招标文件全部实质性要求且按照评审因素的量化指标评审得分最高的投标人为中标候选人的评标方法。得分相同的，按投标报价由低到高排列。得分且投标报价相同的，</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由招标人抽取确定</w:t>
      </w:r>
      <w:r>
        <w:rPr>
          <w:rFonts w:hint="eastAsia" w:ascii="宋体" w:hAnsi="宋体" w:eastAsia="宋体" w:cs="宋体"/>
          <w:color w:val="000000" w:themeColor="text1"/>
          <w:kern w:val="2"/>
          <w:sz w:val="24"/>
          <w:szCs w:val="24"/>
          <w:highlight w:val="none"/>
          <w:lang w:val="zh-CN" w:eastAsia="zh-CN" w:bidi="ar-SA"/>
          <w14:textFill>
            <w14:solidFill>
              <w14:schemeClr w14:val="tx1"/>
            </w14:solidFill>
          </w14:textFill>
        </w:rPr>
        <w:t>。</w:t>
      </w:r>
    </w:p>
    <w:p w14:paraId="28691DEC">
      <w:pPr>
        <w:numPr>
          <w:ilvl w:val="0"/>
          <w:numId w:val="0"/>
        </w:numPr>
        <w:tabs>
          <w:tab w:val="left" w:pos="360"/>
        </w:tabs>
        <w:spacing w:line="460" w:lineRule="exact"/>
        <w:ind w:left="912" w:leftChars="0" w:hanging="432"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1</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资格审查</w:t>
      </w:r>
    </w:p>
    <w:p w14:paraId="7A0C6029">
      <w:pPr>
        <w:tabs>
          <w:tab w:val="left" w:pos="360"/>
        </w:tabs>
        <w:spacing w:line="460" w:lineRule="exact"/>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评标委员会对所有参加投标的投标人的资格对照招标文件资格后审要求提供的材料进行审查，只有通过资格审查的投标人方可进行下一阶段的评审。</w:t>
      </w:r>
    </w:p>
    <w:p w14:paraId="1F4EDA75">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ascii="宋体" w:hAnsi="宋体" w:cs="Arial"/>
          <w:b/>
          <w:color w:val="000000" w:themeColor="text1"/>
          <w:sz w:val="24"/>
          <w:szCs w:val="24"/>
          <w:highlight w:val="none"/>
          <w14:textFill>
            <w14:solidFill>
              <w14:schemeClr w14:val="tx1"/>
            </w14:solidFill>
          </w14:textFill>
        </w:rPr>
      </w:pPr>
      <w:r>
        <w:rPr>
          <w:rFonts w:hint="eastAsia" w:ascii="宋体" w:hAnsi="宋体" w:cs="Arial"/>
          <w:b/>
          <w:color w:val="000000" w:themeColor="text1"/>
          <w:sz w:val="24"/>
          <w:szCs w:val="24"/>
          <w:highlight w:val="none"/>
          <w:lang w:val="en-US" w:eastAsia="zh-CN"/>
          <w14:textFill>
            <w14:solidFill>
              <w14:schemeClr w14:val="tx1"/>
            </w14:solidFill>
          </w14:textFill>
        </w:rPr>
        <w:t>2、</w:t>
      </w:r>
      <w:r>
        <w:rPr>
          <w:rFonts w:hint="eastAsia" w:ascii="宋体" w:hAnsi="宋体" w:cs="Arial"/>
          <w:b/>
          <w:color w:val="000000" w:themeColor="text1"/>
          <w:sz w:val="24"/>
          <w:szCs w:val="24"/>
          <w:highlight w:val="none"/>
          <w14:textFill>
            <w14:solidFill>
              <w14:schemeClr w14:val="tx1"/>
            </w14:solidFill>
          </w14:textFill>
        </w:rPr>
        <w:t>审查以投标人提供的下列资料为准：</w:t>
      </w:r>
    </w:p>
    <w:p w14:paraId="6AE0ACEB">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.1投标人营业执照副本加盖投标单位公章的复印件；</w:t>
      </w:r>
    </w:p>
    <w:p w14:paraId="57924C6F">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.2投标人资质证书副本加盖投标单位公章的复印件；</w:t>
      </w:r>
    </w:p>
    <w:p w14:paraId="4B9A0617">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.3投标人安全生产许可证副本加盖投标单位公章的复印件；</w:t>
      </w:r>
    </w:p>
    <w:p w14:paraId="6B116884">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.4项目负责人建造师执业资格注册证书加盖投标单位公章的复印件；</w:t>
      </w:r>
    </w:p>
    <w:p w14:paraId="275D1109">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.5项目负责人的安全生产考核合格证原件(B类)证书加盖投标单位公章的复印件；</w:t>
      </w:r>
    </w:p>
    <w:p w14:paraId="4DB0F83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2.6项目负责人及被授权委托人（如果有）养老保险证明</w:t>
      </w:r>
      <w:r>
        <w:rPr>
          <w:rFonts w:hint="eastAsia" w:ascii="宋体" w:hAnsi="宋体"/>
          <w:color w:val="000000" w:themeColor="text1"/>
          <w:sz w:val="24"/>
          <w:szCs w:val="24"/>
          <w:highlight w:val="none"/>
          <w14:textFill>
            <w14:solidFill>
              <w14:schemeClr w14:val="tx1"/>
            </w14:solidFill>
          </w14:textFill>
        </w:rPr>
        <w:t>加盖投标单位公章的复印件；</w:t>
      </w:r>
    </w:p>
    <w:p w14:paraId="0DEC6260">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2.7</w:t>
      </w:r>
      <w:r>
        <w:rPr>
          <w:rFonts w:hint="eastAsia" w:ascii="宋体" w:hAnsi="宋体"/>
          <w:color w:val="000000" w:themeColor="text1"/>
          <w:sz w:val="24"/>
          <w:highlight w:val="none"/>
          <w14:textFill>
            <w14:solidFill>
              <w14:schemeClr w14:val="tx1"/>
            </w14:solidFill>
          </w14:textFill>
        </w:rPr>
        <w:t>企业基本开户许可证或企业银行基本存款账户开户基本信息加盖投标人单位公章</w:t>
      </w:r>
      <w:r>
        <w:rPr>
          <w:rFonts w:hint="eastAsia" w:ascii="宋体" w:hAnsi="宋体"/>
          <w:color w:val="000000" w:themeColor="text1"/>
          <w:sz w:val="24"/>
          <w:highlight w:val="none"/>
          <w:lang w:val="en-US" w:eastAsia="zh-CN"/>
          <w14:textFill>
            <w14:solidFill>
              <w14:schemeClr w14:val="tx1"/>
            </w14:solidFill>
          </w14:textFill>
        </w:rPr>
        <w:t>的复印件；</w:t>
      </w:r>
    </w:p>
    <w:p w14:paraId="3C6FAE9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8</w:t>
      </w:r>
      <w:r>
        <w:rPr>
          <w:rFonts w:hint="eastAsia" w:ascii="宋体" w:hAnsi="宋体"/>
          <w:color w:val="000000" w:themeColor="text1"/>
          <w:sz w:val="24"/>
          <w:szCs w:val="24"/>
          <w:highlight w:val="none"/>
          <w14:textFill>
            <w14:solidFill>
              <w14:schemeClr w14:val="tx1"/>
            </w14:solidFill>
          </w14:textFill>
        </w:rPr>
        <w:t>招标文件规定须审查的以及投标人认为应该提供的其他资料复印件</w:t>
      </w:r>
      <w:r>
        <w:rPr>
          <w:rFonts w:hint="eastAsia" w:ascii="宋体" w:hAnsi="宋体"/>
          <w:color w:val="000000" w:themeColor="text1"/>
          <w:sz w:val="24"/>
          <w:szCs w:val="24"/>
          <w:highlight w:val="none"/>
          <w:lang w:val="en-US" w:eastAsia="zh-CN"/>
          <w14:textFill>
            <w14:solidFill>
              <w14:schemeClr w14:val="tx1"/>
            </w14:solidFill>
          </w14:textFill>
        </w:rPr>
        <w:t>加盖投标单位公章的复印件</w:t>
      </w:r>
      <w:r>
        <w:rPr>
          <w:rFonts w:hint="eastAsia" w:ascii="宋体" w:hAnsi="宋体"/>
          <w:color w:val="000000" w:themeColor="text1"/>
          <w:sz w:val="24"/>
          <w:szCs w:val="24"/>
          <w:highlight w:val="none"/>
          <w:lang w:eastAsia="zh-CN"/>
          <w14:textFill>
            <w14:solidFill>
              <w14:schemeClr w14:val="tx1"/>
            </w14:solidFill>
          </w14:textFill>
        </w:rPr>
        <w:t>。</w:t>
      </w:r>
    </w:p>
    <w:p w14:paraId="157D3A43">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上述资格审查材料须为原件彩色扫描件并加盖单位公章、投标人未提交上述资料或资料不全的，则不予通过资格审查。</w:t>
      </w:r>
    </w:p>
    <w:p w14:paraId="605FF1B7">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bookmarkStart w:id="8" w:name="_Toc291610642"/>
      <w:r>
        <w:rPr>
          <w:rFonts w:hint="eastAsia" w:ascii="宋体" w:hAnsi="宋体" w:cs="宋体"/>
          <w:b/>
          <w:bCs/>
          <w:color w:val="000000" w:themeColor="text1"/>
          <w:sz w:val="24"/>
          <w:szCs w:val="24"/>
          <w:highlight w:val="none"/>
          <w14:textFill>
            <w14:solidFill>
              <w14:schemeClr w14:val="tx1"/>
            </w14:solidFill>
          </w14:textFill>
        </w:rPr>
        <w:t>3、投标保证金有效性审查标准</w:t>
      </w:r>
      <w:bookmarkEnd w:id="8"/>
    </w:p>
    <w:p w14:paraId="09F13BBD">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存在下列情况之一的投标保证金无效，投标文件作无效标书处理：</w:t>
      </w:r>
    </w:p>
    <w:p w14:paraId="479BF49D">
      <w:pPr>
        <w:pStyle w:val="15"/>
        <w:keepNext w:val="0"/>
        <w:keepLines w:val="0"/>
        <w:pageBreakBefore w:val="0"/>
        <w:widowControl w:val="0"/>
        <w:kinsoku/>
        <w:wordWrap/>
        <w:overflowPunct/>
        <w:topLinePunct w:val="0"/>
        <w:autoSpaceDE/>
        <w:autoSpaceDN/>
        <w:bidi w:val="0"/>
        <w:snapToGrid/>
        <w:spacing w:line="360" w:lineRule="auto"/>
        <w:textAlignment w:val="auto"/>
        <w:rPr>
          <w:rFonts w:hint="default"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（1）投标保证金未按前附表递交的</w:t>
      </w:r>
    </w:p>
    <w:p w14:paraId="6EB95052">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4、投标文件评审</w:t>
      </w:r>
    </w:p>
    <w:p w14:paraId="00170D34">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凡投标文件有下列情况之一的，按废标处理：</w:t>
      </w:r>
    </w:p>
    <w:p w14:paraId="76181E0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 投标文件中的投标函未加盖投标人的公章；</w:t>
      </w:r>
    </w:p>
    <w:p w14:paraId="5AB4386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 投标文件中的投标函未加盖企业法定代表人（或企业法定代表人委托代理人）印章（或签字）的；</w:t>
      </w:r>
    </w:p>
    <w:p w14:paraId="57F5DC5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 如投标函加盖企业法定代表人委托代理人印章（或签字）的，企业法定代表人委托代理人没有合法、有效的委托书（原件）的；</w:t>
      </w:r>
    </w:p>
    <w:p w14:paraId="477EE6B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 投标报价低于成本或者高于招标文件</w:t>
      </w:r>
      <w:r>
        <w:rPr>
          <w:rFonts w:hint="eastAsia" w:ascii="宋体" w:hAnsi="宋体" w:cs="宋体"/>
          <w:b/>
          <w:color w:val="000000" w:themeColor="text1"/>
          <w:sz w:val="24"/>
          <w:szCs w:val="24"/>
          <w:highlight w:val="none"/>
          <w14:textFill>
            <w14:solidFill>
              <w14:schemeClr w14:val="tx1"/>
            </w14:solidFill>
          </w14:textFill>
        </w:rPr>
        <w:t>设定的</w:t>
      </w:r>
      <w:r>
        <w:rPr>
          <w:rFonts w:hint="eastAsia" w:ascii="宋体" w:hAnsi="宋体" w:cs="宋体"/>
          <w:b/>
          <w:color w:val="000000" w:themeColor="text1"/>
          <w:sz w:val="24"/>
          <w:szCs w:val="24"/>
          <w:highlight w:val="none"/>
          <w:lang w:eastAsia="zh-CN"/>
          <w14:textFill>
            <w14:solidFill>
              <w14:schemeClr w14:val="tx1"/>
            </w14:solidFill>
          </w14:textFill>
        </w:rPr>
        <w:t>最高投标限价</w:t>
      </w:r>
      <w:r>
        <w:rPr>
          <w:rFonts w:hint="eastAsia" w:ascii="宋体" w:hAnsi="宋体" w:cs="宋体"/>
          <w:b/>
          <w:color w:val="000000" w:themeColor="text1"/>
          <w:sz w:val="24"/>
          <w:szCs w:val="24"/>
          <w:highlight w:val="none"/>
          <w14:textFill>
            <w14:solidFill>
              <w14:schemeClr w14:val="tx1"/>
            </w14:solidFill>
          </w14:textFill>
        </w:rPr>
        <w:t>；</w:t>
      </w:r>
    </w:p>
    <w:p w14:paraId="06AC82C0">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 同一投标人提交两个及以上不同的投标文件或者投标报价，但招标文件要求提交备选投标的除外；</w:t>
      </w:r>
    </w:p>
    <w:p w14:paraId="7A84B63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 与招标文件规定的暂估价、暂列金额不一致的；</w:t>
      </w:r>
    </w:p>
    <w:p w14:paraId="1B753B00">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 与招标文件明确列出的不可竞争费用项目或费率不一致的；</w:t>
      </w:r>
    </w:p>
    <w:p w14:paraId="08FF3454">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 与招标文件提供的工程量清单中的项目编码、项目名称、项目特征、计量单位、工程量不一致的；</w:t>
      </w:r>
    </w:p>
    <w:p w14:paraId="4658606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（9） 投标文件载明的招标项目完成期限超过招标文件规定的期限的；</w:t>
      </w:r>
    </w:p>
    <w:p w14:paraId="0E7E3DB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 明显不符合技术规范、技术标准的要求的；</w:t>
      </w:r>
    </w:p>
    <w:p w14:paraId="11904C6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 投标文件载明的货物包装方式、检验标准和方法等不符合招标文件的要求的；</w:t>
      </w:r>
    </w:p>
    <w:p w14:paraId="20FF47C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 投标文件提出了不能满足招标文件要求或招标人不能接受的工程验收、计量、价款结算和支付办法的；</w:t>
      </w:r>
    </w:p>
    <w:p w14:paraId="6A7B9C4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 不同投标人的投标文件以及投标文件制作过程出现了评标委员会认为不应当雷同的情况的；</w:t>
      </w:r>
    </w:p>
    <w:p w14:paraId="1FBFA3D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 以他人的名义投标、串通投标、以行贿手段谋取中标或者以其他弄虚作假方式投标的；</w:t>
      </w:r>
    </w:p>
    <w:p w14:paraId="0381F35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（15） 未按招标文件规定的格式填写，内容不全或关键字迹模糊、无法辨认的；</w:t>
      </w:r>
    </w:p>
    <w:p w14:paraId="68EFD25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（16） 按招标文件约定应参加开标会的人员，未携带有效居民身份证件参加开标会议或未参加开标会议的；</w:t>
      </w:r>
    </w:p>
    <w:p w14:paraId="6C588EA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（17） 未对招标文件中有关工期、投标有效期、质量要求、技术标准和要求、招标范围等实质性内容作出响应的；</w:t>
      </w:r>
    </w:p>
    <w:p w14:paraId="79B7EFB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（18） 投标人被国家、江苏省省级有关部门及盐城市市级有关部门和响水县县级有关部门限制招投标或者所受到限制但未过公示期的。</w:t>
      </w:r>
    </w:p>
    <w:p w14:paraId="4DDCB0F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 投标人因违法违规、违约、失信等原因被响水县有关部门限制投标的。</w:t>
      </w:r>
    </w:p>
    <w:p w14:paraId="27E8E38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（20） 不按评标委员会要求澄清、说明或补正的。</w:t>
      </w:r>
    </w:p>
    <w:p w14:paraId="1A50E155">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default"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5、商务评审</w:t>
      </w:r>
    </w:p>
    <w:p w14:paraId="7F922718">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对通过资格审查、符合性评审的投标人的投标文件进行商务性评审，商务性评审按以下程序进行：</w:t>
      </w:r>
    </w:p>
    <w:p w14:paraId="755B5729">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1、有效投标报价：</w:t>
      </w:r>
    </w:p>
    <w:p w14:paraId="76B0DD1F">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（1）投标人的报价符合招标文件、招标答疑的要求，且经评审不低于成本。</w:t>
      </w:r>
    </w:p>
    <w:p w14:paraId="2B2B5969">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（2）投标人的报价不高于</w:t>
      </w:r>
      <w:r>
        <w:rPr>
          <w:rFonts w:hint="eastAsia" w:ascii="宋体" w:hAnsi="宋体" w:eastAsia="宋体" w:cs="宋体"/>
          <w:color w:val="000000" w:themeColor="text1"/>
          <w:sz w:val="24"/>
          <w:szCs w:val="24"/>
          <w:highlight w:val="none"/>
          <w:lang w:eastAsia="zh-CN"/>
          <w14:textFill>
            <w14:solidFill>
              <w14:schemeClr w14:val="tx1"/>
            </w14:solidFill>
          </w14:textFill>
        </w:rPr>
        <w:t>最高投标限价</w:t>
      </w:r>
      <w:r>
        <w:rPr>
          <w:rFonts w:hint="eastAsia" w:ascii="宋体" w:hAnsi="宋体" w:eastAsia="宋体" w:cs="宋体"/>
          <w:color w:val="000000" w:themeColor="text1"/>
          <w:sz w:val="24"/>
          <w:szCs w:val="24"/>
          <w:highlight w:val="none"/>
          <w14:textFill>
            <w14:solidFill>
              <w14:schemeClr w14:val="tx1"/>
            </w14:solidFill>
          </w14:textFill>
        </w:rPr>
        <w:t>。</w:t>
      </w:r>
    </w:p>
    <w:p w14:paraId="6E156E05">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（3）在其他评审环节未被判废标的。</w:t>
      </w:r>
    </w:p>
    <w:p w14:paraId="1DF6CD86">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不符合上述（1）、（2）、（3）项中任意一项要求的，为无效投标报价，无效投标报价不参与评审。</w:t>
      </w:r>
    </w:p>
    <w:p w14:paraId="274170D4">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2、评标基准价=A*K，</w:t>
      </w:r>
      <w:r>
        <w:rPr>
          <w:rFonts w:hint="eastAsia" w:ascii="宋体" w:hAnsi="宋体" w:eastAsia="宋体" w:cs="宋体"/>
          <w:color w:val="000000" w:themeColor="text1"/>
          <w:sz w:val="24"/>
          <w:szCs w:val="24"/>
          <w:highlight w:val="none"/>
          <w:lang w:val="en-US" w:eastAsia="zh-CN"/>
          <w14:textFill>
            <w14:solidFill>
              <w14:schemeClr w14:val="tx1"/>
            </w14:solidFill>
          </w14:textFill>
        </w:rPr>
        <w:t>K值由招标人随机抽取确定</w:t>
      </w:r>
      <w:r>
        <w:rPr>
          <w:rFonts w:hint="eastAsia" w:ascii="宋体" w:hAnsi="宋体" w:eastAsia="宋体" w:cs="宋体"/>
          <w:color w:val="000000" w:themeColor="text1"/>
          <w:sz w:val="24"/>
          <w:szCs w:val="24"/>
          <w:highlight w:val="none"/>
          <w14:textFill>
            <w14:solidFill>
              <w14:schemeClr w14:val="tx1"/>
            </w14:solidFill>
          </w14:textFill>
        </w:rPr>
        <w:t>，K值的取值范围为96%</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9</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98%</w:t>
      </w:r>
      <w:r>
        <w:rPr>
          <w:rFonts w:hint="eastAsia" w:ascii="宋体" w:hAnsi="宋体" w:eastAsia="宋体" w:cs="宋体"/>
          <w:color w:val="000000" w:themeColor="text1"/>
          <w:sz w:val="24"/>
          <w:szCs w:val="24"/>
          <w:highlight w:val="none"/>
          <w14:textFill>
            <w14:solidFill>
              <w14:schemeClr w14:val="tx1"/>
            </w14:solidFill>
          </w14:textFill>
        </w:rPr>
        <w:t>。</w:t>
      </w:r>
    </w:p>
    <w:p w14:paraId="39034B38">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olor w:val="000000" w:themeColor="text1"/>
          <w:sz w:val="24"/>
          <w:szCs w:val="24"/>
          <w:highlight w:val="none"/>
          <w14:textFill>
            <w14:solidFill>
              <w14:schemeClr w14:val="tx1"/>
            </w14:solidFill>
          </w14:textFill>
        </w:rPr>
        <w:t>评标基准价=A×K，以有效投标文件的评标价算术平均值为A，（计算算术平均值A时：若有效投标文件3≤有效投标文件&lt;7家时，取算术平均值；若7≤有效投标文件&lt;10家时，去掉其中一个最高价和一个最低价；若有效投标文件≥10家，去掉其中的二个最高价和二个最低价）。</w:t>
      </w:r>
    </w:p>
    <w:p w14:paraId="0C05B6E7">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3、投标报价得分100分。</w:t>
      </w:r>
    </w:p>
    <w:p w14:paraId="43F115E3">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评标价等于评标基准价的得满分100分；偏离评标基准价的，评标价与评标基准价相减，每高评标基准价1%的扣0.</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分，评标价与评标基准价相减，每低评标基准价1%的扣0.</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分，偏离不足1%的，用插入法计算。报价得分保留两位小数(第三位四舍五入)。</w:t>
      </w:r>
    </w:p>
    <w:p w14:paraId="4E80CE7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注</w:t>
      </w:r>
      <w:r>
        <w:rPr>
          <w:rFonts w:hint="eastAsia" w:ascii="宋体" w:hAnsi="宋体" w:eastAsia="宋体" w:cs="宋体"/>
          <w:color w:val="000000" w:themeColor="text1"/>
          <w:sz w:val="24"/>
          <w:szCs w:val="24"/>
          <w:highlight w:val="none"/>
          <w14:textFill>
            <w14:solidFill>
              <w14:schemeClr w14:val="tx1"/>
            </w14:solidFill>
          </w14:textFill>
        </w:rPr>
        <w:t>：除确认存在计算错误外，评标基准价不因招投标当事人质疑、投诉、复议以及其它任何情形而改变；</w:t>
      </w:r>
    </w:p>
    <w:p w14:paraId="496043B9">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6</w:t>
      </w:r>
      <w:r>
        <w:rPr>
          <w:rFonts w:hint="eastAsia" w:ascii="宋体" w:hAnsi="宋体" w:cs="宋体"/>
          <w:b/>
          <w:bCs/>
          <w:color w:val="000000" w:themeColor="text1"/>
          <w:sz w:val="24"/>
          <w:szCs w:val="24"/>
          <w:highlight w:val="none"/>
          <w14:textFill>
            <w14:solidFill>
              <w14:schemeClr w14:val="tx1"/>
            </w14:solidFill>
          </w14:textFill>
        </w:rPr>
        <w:t>、投标报价错误的修正</w:t>
      </w:r>
    </w:p>
    <w:p w14:paraId="35E75E4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评标委员会按以下原则对投标报价进行修正，修正的价格经投标人书面同意后具有约束力。投标人不接受修正价格的，不按评标委员会要求澄清、说明或补正的，其投标作废标处理。</w:t>
      </w:r>
    </w:p>
    <w:p w14:paraId="0CEEBD4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 投标文件中的大写金额与小写金额不一致时，以大写金额为准。</w:t>
      </w:r>
    </w:p>
    <w:p w14:paraId="42A6C14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 总价金额与依据单价计算出的结果不一致的，以单价金额为准修正总价，但单价金额小数点有明显错误的除外。</w:t>
      </w:r>
    </w:p>
    <w:p w14:paraId="2E2D076F">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7</w:t>
      </w:r>
      <w:r>
        <w:rPr>
          <w:rFonts w:hint="eastAsia" w:ascii="宋体" w:hAnsi="宋体" w:cs="宋体"/>
          <w:b/>
          <w:bCs/>
          <w:color w:val="000000" w:themeColor="text1"/>
          <w:sz w:val="24"/>
          <w:szCs w:val="24"/>
          <w:highlight w:val="none"/>
          <w14:textFill>
            <w14:solidFill>
              <w14:schemeClr w14:val="tx1"/>
            </w14:solidFill>
          </w14:textFill>
        </w:rPr>
        <w:t>、投标文件的澄清</w:t>
      </w:r>
    </w:p>
    <w:p w14:paraId="46802B1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.1 在评标过程中，评标委员会应当以书面形式要求投标人对所提交投标文件中不明确的内容进行书面澄清或说明，或者对细微偏差进行补正。评标委员会不接受投标人主动提出的澄清、说明或补正。</w:t>
      </w:r>
    </w:p>
    <w:p w14:paraId="6738227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.2 澄清、说明和补正不得改变投标文件的实质性内容（算术性错误修正的除外）。投标人的书面澄清、说明和补正属于投标文件的组成部分。</w:t>
      </w:r>
    </w:p>
    <w:p w14:paraId="705AB2A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.3 评标委员会对投标人提交的澄清、说明或补正有疑问的，可以要求投标人进一步澄清、说明或补正。</w:t>
      </w:r>
    </w:p>
    <w:p w14:paraId="72272279">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.4 在评标过程中，评标委员会发现投标人的报价明显低于其他投标报价，使得其投标报价可能低于其个别成本的，有可能影响质量或者不能诚信履约的，应当要求其在评标现场合理的时间内提供书面说明并提供相关证明材料。投标人不能合理说明或者不能提供相关证明材料的，评标委员会应当否决其投标。</w:t>
      </w:r>
    </w:p>
    <w:p w14:paraId="3D35FC44">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bCs/>
          <w:color w:val="000000" w:themeColor="text1"/>
          <w:sz w:val="24"/>
          <w:szCs w:val="24"/>
          <w:highlight w:val="none"/>
          <w14:textFill>
            <w14:solidFill>
              <w14:schemeClr w14:val="tx1"/>
            </w14:solidFill>
          </w14:textFill>
        </w:rPr>
        <w:t>、推荐中标候选人</w:t>
      </w:r>
    </w:p>
    <w:p w14:paraId="786D0950">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.1 评标委员会根据本评标办法推荐1名中标候选人。</w:t>
      </w:r>
    </w:p>
    <w:p w14:paraId="7EF37322">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.2 经评标委员会评审，认为所有投标都不符合招标文件要求的或经评审其有效投标文件不足三家的，评标委员会应当对是否具有竞争性进行判断：有竞争性的，按评标价由低至高的次序推荐中标候选人；缺乏竞争的，评标委员会应当否决全部投标。</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1B8B5C4D">
      <w:pPr>
        <w:keepNext w:val="0"/>
        <w:keepLines w:val="0"/>
        <w:pageBreakBefore w:val="0"/>
        <w:widowControl w:val="0"/>
        <w:kinsoku/>
        <w:wordWrap/>
        <w:overflowPunct/>
        <w:topLinePunct w:val="0"/>
        <w:autoSpaceDE/>
        <w:autoSpaceDN/>
        <w:bidi w:val="0"/>
        <w:snapToGrid/>
        <w:spacing w:line="440" w:lineRule="exact"/>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.3 评标委员会完成评标后，应当向招标人提交书面评标报告</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79907F0">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24576206">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发出中标通知书后，招标人无正当理由拒签合同的，由有关行政监督部门给予警告，责令改正。同时招标人向中标人退还投标保证金；给中标人造成损失的，还应当赔偿损失。</w:t>
      </w:r>
    </w:p>
    <w:p w14:paraId="49BE7028">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注：若排名第一的中标候选人放弃中标，扣除其相应投标保证金。</w:t>
      </w:r>
    </w:p>
    <w:p w14:paraId="6D14D970">
      <w:pPr>
        <w:pStyle w:val="2"/>
        <w:numPr>
          <w:ilvl w:val="0"/>
          <w:numId w:val="0"/>
        </w:numPr>
        <w:jc w:val="both"/>
        <w:rPr>
          <w:rFonts w:hint="eastAsia" w:ascii="宋体" w:hAnsi="宋体" w:eastAsia="宋体" w:cs="宋体"/>
          <w:b/>
          <w:color w:val="000000" w:themeColor="text1"/>
          <w:sz w:val="36"/>
          <w:szCs w:val="36"/>
          <w:highlight w:val="none"/>
          <w14:textFill>
            <w14:solidFill>
              <w14:schemeClr w14:val="tx1"/>
            </w14:solidFill>
          </w14:textFill>
        </w:rPr>
      </w:pPr>
    </w:p>
    <w:p w14:paraId="7D167BBC">
      <w:pPr>
        <w:rPr>
          <w:rFonts w:hint="eastAsia"/>
          <w:color w:val="000000" w:themeColor="text1"/>
          <w:highlight w:val="none"/>
          <w14:textFill>
            <w14:solidFill>
              <w14:schemeClr w14:val="tx1"/>
            </w14:solidFill>
          </w14:textFill>
        </w:rPr>
      </w:pPr>
    </w:p>
    <w:bookmarkEnd w:id="4"/>
    <w:p w14:paraId="3E24D717">
      <w:pPr>
        <w:rPr>
          <w:rFonts w:hint="eastAsia" w:ascii="宋体" w:hAnsi="宋体" w:eastAsia="宋体" w:cs="宋体"/>
          <w:b/>
          <w:color w:val="000000" w:themeColor="text1"/>
          <w:sz w:val="36"/>
          <w:szCs w:val="36"/>
          <w:highlight w:val="none"/>
          <w14:textFill>
            <w14:solidFill>
              <w14:schemeClr w14:val="tx1"/>
            </w14:solidFill>
          </w14:textFill>
        </w:rPr>
      </w:pPr>
      <w:bookmarkStart w:id="9" w:name="_Toc31726"/>
      <w:r>
        <w:rPr>
          <w:rFonts w:hint="eastAsia" w:ascii="宋体" w:hAnsi="宋体" w:eastAsia="宋体" w:cs="宋体"/>
          <w:b/>
          <w:color w:val="000000" w:themeColor="text1"/>
          <w:sz w:val="36"/>
          <w:szCs w:val="36"/>
          <w:highlight w:val="none"/>
          <w14:textFill>
            <w14:solidFill>
              <w14:schemeClr w14:val="tx1"/>
            </w14:solidFill>
          </w14:textFill>
        </w:rPr>
        <w:br w:type="page"/>
      </w:r>
    </w:p>
    <w:p w14:paraId="7BCE0AA9">
      <w:pPr>
        <w:pStyle w:val="2"/>
        <w:numPr>
          <w:ilvl w:val="0"/>
          <w:numId w:val="0"/>
        </w:numPr>
        <w:jc w:val="center"/>
        <w:rPr>
          <w:rFonts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b/>
          <w:color w:val="000000" w:themeColor="text1"/>
          <w:sz w:val="36"/>
          <w:szCs w:val="36"/>
          <w:highlight w:val="none"/>
          <w14:textFill>
            <w14:solidFill>
              <w14:schemeClr w14:val="tx1"/>
            </w14:solidFill>
          </w14:textFill>
        </w:rPr>
        <w:t>第四章  工程施工合同</w:t>
      </w:r>
    </w:p>
    <w:p w14:paraId="09EA6172">
      <w:pPr>
        <w:jc w:val="center"/>
        <w:rPr>
          <w:rFonts w:ascii="宋体" w:hAnsi="宋体"/>
          <w:bCs/>
          <w:color w:val="000000" w:themeColor="text1"/>
          <w:sz w:val="32"/>
          <w:szCs w:val="32"/>
          <w:highlight w:val="none"/>
          <w14:textFill>
            <w14:solidFill>
              <w14:schemeClr w14:val="tx1"/>
            </w14:solidFill>
          </w14:textFill>
        </w:rPr>
      </w:pPr>
      <w:r>
        <w:rPr>
          <w:rFonts w:ascii="宋体" w:hAnsi="宋体"/>
          <w:bCs/>
          <w:color w:val="000000" w:themeColor="text1"/>
          <w:sz w:val="32"/>
          <w:szCs w:val="32"/>
          <w:highlight w:val="none"/>
          <w14:textFill>
            <w14:solidFill>
              <w14:schemeClr w14:val="tx1"/>
            </w14:solidFill>
          </w14:textFill>
        </w:rPr>
        <w:t>（GF—201</w:t>
      </w:r>
      <w:r>
        <w:rPr>
          <w:rFonts w:hint="eastAsia" w:ascii="宋体" w:hAnsi="宋体"/>
          <w:bCs/>
          <w:color w:val="000000" w:themeColor="text1"/>
          <w:sz w:val="32"/>
          <w:szCs w:val="32"/>
          <w:highlight w:val="none"/>
          <w14:textFill>
            <w14:solidFill>
              <w14:schemeClr w14:val="tx1"/>
            </w14:solidFill>
          </w14:textFill>
        </w:rPr>
        <w:t>7</w:t>
      </w:r>
      <w:r>
        <w:rPr>
          <w:rFonts w:ascii="宋体" w:hAnsi="宋体"/>
          <w:bCs/>
          <w:color w:val="000000" w:themeColor="text1"/>
          <w:sz w:val="32"/>
          <w:szCs w:val="32"/>
          <w:highlight w:val="none"/>
          <w14:textFill>
            <w14:solidFill>
              <w14:schemeClr w14:val="tx1"/>
            </w14:solidFill>
          </w14:textFill>
        </w:rPr>
        <w:t>—</w:t>
      </w:r>
      <w:r>
        <w:rPr>
          <w:rFonts w:hint="eastAsia" w:ascii="宋体" w:hAnsi="宋体"/>
          <w:bCs/>
          <w:color w:val="000000" w:themeColor="text1"/>
          <w:sz w:val="32"/>
          <w:szCs w:val="32"/>
          <w:highlight w:val="none"/>
          <w14:textFill>
            <w14:solidFill>
              <w14:schemeClr w14:val="tx1"/>
            </w14:solidFill>
          </w14:textFill>
        </w:rPr>
        <w:t>0201）</w:t>
      </w:r>
    </w:p>
    <w:p w14:paraId="755A2326">
      <w:pPr>
        <w:jc w:val="center"/>
        <w:rPr>
          <w:rFonts w:ascii="宋体" w:hAnsi="宋体"/>
          <w:b/>
          <w:color w:val="000000" w:themeColor="text1"/>
          <w:sz w:val="52"/>
          <w:szCs w:val="52"/>
          <w:highlight w:val="none"/>
          <w14:textFill>
            <w14:solidFill>
              <w14:schemeClr w14:val="tx1"/>
            </w14:solidFill>
          </w14:textFill>
        </w:rPr>
      </w:pPr>
    </w:p>
    <w:p w14:paraId="5426C01C">
      <w:pPr>
        <w:pStyle w:val="15"/>
        <w:rPr>
          <w:rFonts w:ascii="宋体" w:hAnsi="宋体"/>
          <w:b/>
          <w:color w:val="000000" w:themeColor="text1"/>
          <w:sz w:val="52"/>
          <w:szCs w:val="52"/>
          <w:highlight w:val="none"/>
          <w14:textFill>
            <w14:solidFill>
              <w14:schemeClr w14:val="tx1"/>
            </w14:solidFill>
          </w14:textFill>
        </w:rPr>
      </w:pPr>
    </w:p>
    <w:p w14:paraId="2FF44393">
      <w:pPr>
        <w:pStyle w:val="15"/>
        <w:rPr>
          <w:rFonts w:ascii="宋体" w:hAnsi="宋体"/>
          <w:b/>
          <w:color w:val="000000" w:themeColor="text1"/>
          <w:sz w:val="52"/>
          <w:szCs w:val="52"/>
          <w:highlight w:val="none"/>
          <w14:textFill>
            <w14:solidFill>
              <w14:schemeClr w14:val="tx1"/>
            </w14:solidFill>
          </w14:textFill>
        </w:rPr>
      </w:pPr>
    </w:p>
    <w:p w14:paraId="1D1D83BC">
      <w:pPr>
        <w:pStyle w:val="15"/>
        <w:ind w:left="0" w:leftChars="0" w:firstLine="0" w:firstLineChars="0"/>
        <w:rPr>
          <w:rFonts w:ascii="宋体" w:hAnsi="宋体"/>
          <w:b/>
          <w:color w:val="000000" w:themeColor="text1"/>
          <w:sz w:val="52"/>
          <w:szCs w:val="52"/>
          <w:highlight w:val="none"/>
          <w14:textFill>
            <w14:solidFill>
              <w14:schemeClr w14:val="tx1"/>
            </w14:solidFill>
          </w14:textFill>
        </w:rPr>
      </w:pPr>
    </w:p>
    <w:p w14:paraId="62D03E2E">
      <w:pPr>
        <w:pStyle w:val="15"/>
        <w:rPr>
          <w:rFonts w:ascii="宋体" w:hAnsi="宋体"/>
          <w:b/>
          <w:color w:val="000000" w:themeColor="text1"/>
          <w:sz w:val="52"/>
          <w:szCs w:val="52"/>
          <w:highlight w:val="none"/>
          <w14:textFill>
            <w14:solidFill>
              <w14:schemeClr w14:val="tx1"/>
            </w14:solidFill>
          </w14:textFill>
        </w:rPr>
      </w:pPr>
    </w:p>
    <w:p w14:paraId="251FF52E">
      <w:pPr>
        <w:jc w:val="center"/>
        <w:rPr>
          <w:rFonts w:ascii="宋体" w:hAnsi="宋体"/>
          <w:b/>
          <w:color w:val="000000" w:themeColor="text1"/>
          <w:sz w:val="52"/>
          <w:szCs w:val="52"/>
          <w:highlight w:val="none"/>
          <w14:textFill>
            <w14:solidFill>
              <w14:schemeClr w14:val="tx1"/>
            </w14:solidFill>
          </w14:textFill>
        </w:rPr>
      </w:pPr>
      <w:r>
        <w:rPr>
          <w:rFonts w:ascii="宋体" w:hAnsi="宋体"/>
          <w:b/>
          <w:color w:val="000000" w:themeColor="text1"/>
          <w:sz w:val="72"/>
          <w:szCs w:val="52"/>
          <w:highlight w:val="none"/>
          <w14:textFill>
            <w14:solidFill>
              <w14:schemeClr w14:val="tx1"/>
            </w14:solidFill>
          </w14:textFill>
        </w:rPr>
        <w:t>建设工程施工合同</w:t>
      </w:r>
      <w:r>
        <w:rPr>
          <w:rFonts w:ascii="宋体" w:hAnsi="宋体"/>
          <w:b/>
          <w:color w:val="000000" w:themeColor="text1"/>
          <w:sz w:val="52"/>
          <w:szCs w:val="52"/>
          <w:highlight w:val="none"/>
          <w14:textFill>
            <w14:solidFill>
              <w14:schemeClr w14:val="tx1"/>
            </w14:solidFill>
          </w14:textFill>
        </w:rPr>
        <w:br w:type="textWrapping"/>
      </w:r>
    </w:p>
    <w:p w14:paraId="02030102">
      <w:pPr>
        <w:jc w:val="center"/>
        <w:rPr>
          <w:rFonts w:ascii="宋体" w:hAnsi="宋体"/>
          <w:b/>
          <w:color w:val="000000" w:themeColor="text1"/>
          <w:sz w:val="72"/>
          <w:szCs w:val="72"/>
          <w:highlight w:val="none"/>
          <w14:textFill>
            <w14:solidFill>
              <w14:schemeClr w14:val="tx1"/>
            </w14:solidFill>
          </w14:textFill>
        </w:rPr>
      </w:pPr>
    </w:p>
    <w:p w14:paraId="70A46A31">
      <w:pPr>
        <w:jc w:val="center"/>
        <w:rPr>
          <w:rFonts w:ascii="宋体" w:hAnsi="宋体"/>
          <w:b/>
          <w:color w:val="000000" w:themeColor="text1"/>
          <w:sz w:val="72"/>
          <w:szCs w:val="72"/>
          <w:highlight w:val="none"/>
          <w14:textFill>
            <w14:solidFill>
              <w14:schemeClr w14:val="tx1"/>
            </w14:solidFill>
          </w14:textFill>
        </w:rPr>
      </w:pPr>
    </w:p>
    <w:p w14:paraId="6A34056B">
      <w:pPr>
        <w:jc w:val="center"/>
        <w:rPr>
          <w:rFonts w:ascii="宋体" w:hAnsi="宋体"/>
          <w:b/>
          <w:color w:val="000000" w:themeColor="text1"/>
          <w:sz w:val="52"/>
          <w:szCs w:val="52"/>
          <w:highlight w:val="none"/>
          <w14:textFill>
            <w14:solidFill>
              <w14:schemeClr w14:val="tx1"/>
            </w14:solidFill>
          </w14:textFill>
        </w:rPr>
      </w:pPr>
    </w:p>
    <w:p w14:paraId="590489D3">
      <w:pPr>
        <w:rPr>
          <w:rFonts w:ascii="宋体" w:hAnsi="宋体"/>
          <w:b/>
          <w:color w:val="000000" w:themeColor="text1"/>
          <w:sz w:val="28"/>
          <w:szCs w:val="28"/>
          <w:highlight w:val="none"/>
          <w14:textFill>
            <w14:solidFill>
              <w14:schemeClr w14:val="tx1"/>
            </w14:solidFill>
          </w14:textFill>
        </w:rPr>
      </w:pPr>
    </w:p>
    <w:p w14:paraId="221B15DF">
      <w:pPr>
        <w:rPr>
          <w:rFonts w:ascii="宋体" w:hAnsi="宋体"/>
          <w:b/>
          <w:color w:val="000000" w:themeColor="text1"/>
          <w:sz w:val="28"/>
          <w:szCs w:val="28"/>
          <w:highlight w:val="none"/>
          <w14:textFill>
            <w14:solidFill>
              <w14:schemeClr w14:val="tx1"/>
            </w14:solidFill>
          </w14:textFill>
        </w:rPr>
      </w:pPr>
    </w:p>
    <w:p w14:paraId="26DC3DD4">
      <w:pPr>
        <w:rPr>
          <w:rFonts w:ascii="宋体" w:hAnsi="宋体"/>
          <w:b/>
          <w:color w:val="000000" w:themeColor="text1"/>
          <w:sz w:val="28"/>
          <w:szCs w:val="28"/>
          <w:highlight w:val="none"/>
          <w14:textFill>
            <w14:solidFill>
              <w14:schemeClr w14:val="tx1"/>
            </w14:solidFill>
          </w14:textFill>
        </w:rPr>
      </w:pPr>
    </w:p>
    <w:p w14:paraId="0518F550">
      <w:pPr>
        <w:rPr>
          <w:rFonts w:ascii="宋体" w:hAnsi="宋体"/>
          <w:b/>
          <w:color w:val="000000" w:themeColor="text1"/>
          <w:sz w:val="28"/>
          <w:szCs w:val="28"/>
          <w:highlight w:val="none"/>
          <w14:textFill>
            <w14:solidFill>
              <w14:schemeClr w14:val="tx1"/>
            </w14:solidFill>
          </w14:textFill>
        </w:rPr>
      </w:pPr>
    </w:p>
    <w:p w14:paraId="0D826379">
      <w:pPr>
        <w:rPr>
          <w:rFonts w:ascii="宋体" w:hAnsi="宋体"/>
          <w:b/>
          <w:color w:val="000000" w:themeColor="text1"/>
          <w:sz w:val="28"/>
          <w:szCs w:val="28"/>
          <w:highlight w:val="none"/>
          <w14:textFill>
            <w14:solidFill>
              <w14:schemeClr w14:val="tx1"/>
            </w14:solidFill>
          </w14:textFill>
        </w:rPr>
      </w:pPr>
    </w:p>
    <w:p w14:paraId="38248DC1">
      <w:pPr>
        <w:ind w:right="2719" w:rightChars="1295"/>
        <w:jc w:val="distribute"/>
        <w:rPr>
          <w:rFonts w:ascii="宋体" w:hAnsi="宋体"/>
          <w:b/>
          <w:color w:val="000000" w:themeColor="text1"/>
          <w:sz w:val="32"/>
          <w:szCs w:val="28"/>
          <w:highlight w:val="none"/>
          <w14:textFill>
            <w14:solidFill>
              <w14:schemeClr w14:val="tx1"/>
            </w14:solidFill>
          </w14:textFill>
        </w:rPr>
      </w:pPr>
      <w:r>
        <w:rPr>
          <w:rFonts w:ascii="宋体" w:hAnsi="宋体"/>
          <w:color w:val="000000" w:themeColor="text1"/>
          <w:highlight w:val="none"/>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4342130</wp:posOffset>
                </wp:positionH>
                <wp:positionV relativeFrom="paragraph">
                  <wp:posOffset>74930</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5344624D">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pt;margin-top:5.9pt;height:36pt;width:57pt;z-index:251660288;mso-width-relative:page;mso-height-relative:page;" filled="f" stroked="t" coordsize="21600,21600" o:gfxdata="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4zCzbXAAAACQEAAA8AAAAAAAAAAQAgAAAAIgAA&#10;AGRycy9kb3ducmV2LnhtbFBLAQIUABQAAAAIAIdO4kDkh2SKCQIAABoEAAAOAAAAAAAAAAEAIAAA&#10;ACYBAABkcnMvZTJvRG9jLnhtbFBLBQYAAAAABgAGAFkBAAChBQAAAAA=&#10;">
                <v:fill on="f" focussize="0,0"/>
                <v:stroke color="#FFFFFF" joinstyle="miter"/>
                <v:imagedata o:title=""/>
                <o:lock v:ext="edit" aspectratio="f"/>
                <v:textbox>
                  <w:txbxContent>
                    <w:p w14:paraId="5344624D">
                      <w:pPr>
                        <w:rPr>
                          <w:b/>
                          <w:bCs/>
                          <w:sz w:val="32"/>
                        </w:rPr>
                      </w:pPr>
                      <w:r>
                        <w:rPr>
                          <w:rFonts w:hint="eastAsia"/>
                          <w:b/>
                          <w:bCs/>
                          <w:sz w:val="32"/>
                        </w:rPr>
                        <w:t>制定</w:t>
                      </w:r>
                    </w:p>
                  </w:txbxContent>
                </v:textbox>
              </v:shape>
            </w:pict>
          </mc:Fallback>
        </mc:AlternateContent>
      </w:r>
      <w:r>
        <w:rPr>
          <w:rFonts w:hint="eastAsia" w:ascii="宋体" w:hAnsi="宋体"/>
          <w:color w:val="000000" w:themeColor="text1"/>
          <w:highlight w:val="none"/>
          <w14:textFill>
            <w14:solidFill>
              <w14:schemeClr w14:val="tx1"/>
            </w14:solidFill>
          </w14:textFill>
        </w:rPr>
        <w:t xml:space="preserve">         </w:t>
      </w:r>
      <w:r>
        <w:rPr>
          <w:rFonts w:hint="eastAsia" w:ascii="宋体" w:hAnsi="宋体"/>
          <w:color w:val="000000" w:themeColor="text1"/>
          <w:highlight w:val="none"/>
          <w:lang w:val="en-US" w:eastAsia="zh-CN"/>
          <w14:textFill>
            <w14:solidFill>
              <w14:schemeClr w14:val="tx1"/>
            </w14:solidFill>
          </w14:textFill>
        </w:rPr>
        <w:t xml:space="preserve">      </w:t>
      </w:r>
      <w:r>
        <w:rPr>
          <w:rFonts w:ascii="宋体" w:hAnsi="宋体"/>
          <w:b/>
          <w:color w:val="000000" w:themeColor="text1"/>
          <w:sz w:val="32"/>
          <w:szCs w:val="28"/>
          <w:highlight w:val="none"/>
          <w14:textFill>
            <w14:solidFill>
              <w14:schemeClr w14:val="tx1"/>
            </w14:solidFill>
          </w14:textFill>
        </w:rPr>
        <w:t>住房和城乡建设部</w:t>
      </w:r>
    </w:p>
    <w:p w14:paraId="16C374D1">
      <w:pPr>
        <w:ind w:right="2719" w:rightChars="1295"/>
        <w:jc w:val="distribute"/>
        <w:rPr>
          <w:rFonts w:ascii="宋体" w:hAnsi="宋体"/>
          <w:b/>
          <w:color w:val="000000" w:themeColor="text1"/>
          <w:sz w:val="32"/>
          <w:szCs w:val="28"/>
          <w:highlight w:val="none"/>
          <w14:textFill>
            <w14:solidFill>
              <w14:schemeClr w14:val="tx1"/>
            </w14:solidFill>
          </w14:textFill>
        </w:rPr>
      </w:pPr>
      <w:r>
        <w:rPr>
          <w:rFonts w:hint="eastAsia" w:ascii="宋体" w:hAnsi="宋体"/>
          <w:b/>
          <w:color w:val="000000" w:themeColor="text1"/>
          <w:sz w:val="32"/>
          <w:szCs w:val="28"/>
          <w:highlight w:val="none"/>
          <w14:textFill>
            <w14:solidFill>
              <w14:schemeClr w14:val="tx1"/>
            </w14:solidFill>
          </w14:textFill>
        </w:rPr>
        <w:t xml:space="preserve">     </w:t>
      </w:r>
      <w:r>
        <w:rPr>
          <w:rFonts w:hint="eastAsia" w:ascii="宋体" w:hAnsi="宋体"/>
          <w:b/>
          <w:color w:val="000000" w:themeColor="text1"/>
          <w:sz w:val="32"/>
          <w:szCs w:val="28"/>
          <w:highlight w:val="none"/>
          <w:lang w:val="en-US" w:eastAsia="zh-CN"/>
          <w14:textFill>
            <w14:solidFill>
              <w14:schemeClr w14:val="tx1"/>
            </w14:solidFill>
          </w14:textFill>
        </w:rPr>
        <w:t xml:space="preserve">     </w:t>
      </w:r>
      <w:r>
        <w:rPr>
          <w:rFonts w:ascii="宋体" w:hAnsi="宋体"/>
          <w:b/>
          <w:color w:val="000000" w:themeColor="text1"/>
          <w:sz w:val="32"/>
          <w:szCs w:val="28"/>
          <w:highlight w:val="none"/>
          <w14:textFill>
            <w14:solidFill>
              <w14:schemeClr w14:val="tx1"/>
            </w14:solidFill>
          </w14:textFill>
        </w:rPr>
        <w:t>国家工商行政管理总局</w:t>
      </w:r>
    </w:p>
    <w:p w14:paraId="2F417632">
      <w:pPr>
        <w:spacing w:line="500" w:lineRule="exact"/>
        <w:ind w:left="-1" w:firstLine="480" w:firstLineChars="200"/>
        <w:rPr>
          <w:rFonts w:hint="eastAsia" w:ascii="宋体" w:hAnsi="宋体" w:eastAsia="宋体" w:cs="宋体"/>
          <w:color w:val="000000" w:themeColor="text1"/>
          <w:sz w:val="24"/>
          <w:highlight w:val="none"/>
          <w14:textFill>
            <w14:solidFill>
              <w14:schemeClr w14:val="tx1"/>
            </w14:solidFill>
          </w14:textFill>
        </w:rPr>
      </w:pPr>
    </w:p>
    <w:p w14:paraId="15B5E5FB">
      <w:pPr>
        <w:spacing w:line="500" w:lineRule="exact"/>
        <w:rPr>
          <w:rFonts w:hint="eastAsia" w:ascii="宋体" w:hAnsi="宋体" w:eastAsia="宋体" w:cs="宋体"/>
          <w:color w:val="000000" w:themeColor="text1"/>
          <w:sz w:val="24"/>
          <w:highlight w:val="none"/>
          <w14:textFill>
            <w14:solidFill>
              <w14:schemeClr w14:val="tx1"/>
            </w14:solidFill>
          </w14:textFill>
        </w:rPr>
      </w:pPr>
    </w:p>
    <w:p w14:paraId="45301005">
      <w:pPr>
        <w:pStyle w:val="24"/>
        <w:jc w:val="center"/>
        <w:rPr>
          <w:rFonts w:eastAsia="华文中宋"/>
          <w:color w:val="000000" w:themeColor="text1"/>
          <w:highlight w:val="none"/>
          <w:lang w:val="zh-CN"/>
          <w14:textFill>
            <w14:solidFill>
              <w14:schemeClr w14:val="tx1"/>
            </w14:solidFill>
          </w14:textFill>
        </w:rPr>
      </w:pPr>
      <w:r>
        <w:rPr>
          <w:rFonts w:hint="eastAsia" w:eastAsia="华文中宋"/>
          <w:color w:val="000000" w:themeColor="text1"/>
          <w:sz w:val="32"/>
          <w:szCs w:val="32"/>
          <w:highlight w:val="none"/>
          <w:lang w:val="zh-CN"/>
          <w14:textFill>
            <w14:solidFill>
              <w14:schemeClr w14:val="tx1"/>
            </w14:solidFill>
          </w14:textFill>
        </w:rPr>
        <w:t>说  明</w:t>
      </w:r>
    </w:p>
    <w:p w14:paraId="492C72D6">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359E107E">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一、《示范文本》的组成</w:t>
      </w:r>
    </w:p>
    <w:p w14:paraId="1863CF88">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《示范文本》由合同协议书、通用合同条款和专用合同条款三部分组成。</w:t>
      </w:r>
    </w:p>
    <w:p w14:paraId="033CE363">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（一）合同协议书</w:t>
      </w:r>
    </w:p>
    <w:p w14:paraId="31D2F4D5">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41AEB534">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（二）通用合同条款</w:t>
      </w:r>
    </w:p>
    <w:p w14:paraId="4981FBC1">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通用合同条款是合同当事人根据《中华人民共和国建筑法》、《中华人民共和国合同法》等法律法规的规定，就工程建设的实施及相关事项，对合同当事人的权利义务作出的原则性约定。</w:t>
      </w:r>
    </w:p>
    <w:p w14:paraId="175A5360">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133C68DC">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（三）专用合同条款</w:t>
      </w:r>
    </w:p>
    <w:p w14:paraId="34DE735C">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4232E28">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1.专用合同条款的编号应与相应的通用合同条款的编号一致；</w:t>
      </w:r>
    </w:p>
    <w:p w14:paraId="2335372C">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2.合同当事人可以通过对专用合同条款的修改，满足具体建设工程的特殊要求，避免直接修改通用合同条款；</w:t>
      </w:r>
    </w:p>
    <w:p w14:paraId="3234D3DA">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3.在专用合同条款中有横道线的地方，合同当事人可针对相应的通用合同条款进行细化、完善、补充、修改或另行约定；如无细化、完善、补充、修改或另行约定，则填写“无”或划“/”。</w:t>
      </w:r>
    </w:p>
    <w:p w14:paraId="03231CB8">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二、《示范文本》的性质和适用范围</w:t>
      </w:r>
    </w:p>
    <w:p w14:paraId="2E074E33">
      <w:pPr>
        <w:spacing w:line="500" w:lineRule="exact"/>
        <w:ind w:firstLine="480" w:firstLineChars="200"/>
        <w:rPr>
          <w:rStyle w:val="25"/>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25EA8C68">
      <w:pPr>
        <w:rPr>
          <w:rFonts w:ascii="华文中宋" w:hAnsi="华文中宋" w:eastAsia="华文中宋"/>
          <w:color w:val="000000" w:themeColor="text1"/>
          <w:highlight w:val="none"/>
          <w14:textFill>
            <w14:solidFill>
              <w14:schemeClr w14:val="tx1"/>
            </w14:solidFill>
          </w14:textFill>
        </w:rPr>
      </w:pPr>
      <w:r>
        <w:rPr>
          <w:rFonts w:ascii="华文中宋" w:hAnsi="华文中宋" w:eastAsia="华文中宋"/>
          <w:color w:val="000000" w:themeColor="text1"/>
          <w:highlight w:val="none"/>
          <w14:textFill>
            <w14:solidFill>
              <w14:schemeClr w14:val="tx1"/>
            </w14:solidFill>
          </w14:textFill>
        </w:rPr>
        <w:br w:type="page"/>
      </w:r>
    </w:p>
    <w:p w14:paraId="3D71134F">
      <w:pPr>
        <w:pStyle w:val="4"/>
        <w:spacing w:before="0" w:after="0" w:line="480" w:lineRule="exact"/>
        <w:ind w:firstLine="157"/>
        <w:jc w:val="center"/>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第一部分 合同协议书</w:t>
      </w:r>
    </w:p>
    <w:p w14:paraId="401EEC10">
      <w:pPr>
        <w:pageBreakBefore w:val="0"/>
        <w:widowControl w:val="0"/>
        <w:kinsoku/>
        <w:wordWrap/>
        <w:overflowPunct/>
        <w:topLinePunct w:val="0"/>
        <w:bidi w:val="0"/>
        <w:snapToGrid/>
        <w:spacing w:line="400" w:lineRule="exact"/>
        <w:textAlignment w:val="auto"/>
        <w:rPr>
          <w:rFonts w:hint="eastAsia" w:ascii="宋体" w:hAnsi="宋体" w:eastAsia="宋体" w:cs="宋体"/>
          <w:b/>
          <w:color w:val="000000" w:themeColor="text1"/>
          <w:sz w:val="22"/>
          <w:szCs w:val="22"/>
          <w:highlight w:val="none"/>
          <w:u w:val="single"/>
          <w:lang w:val="en-US" w:eastAsia="zh-CN"/>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发包人（全称）：</w:t>
      </w:r>
      <w:r>
        <w:rPr>
          <w:rFonts w:hint="eastAsia" w:ascii="宋体" w:hAnsi="宋体" w:cs="宋体"/>
          <w:b/>
          <w:color w:val="000000" w:themeColor="text1"/>
          <w:sz w:val="22"/>
          <w:szCs w:val="22"/>
          <w:highlight w:val="none"/>
          <w:u w:val="single"/>
          <w:lang w:val="en-US" w:eastAsia="zh-CN"/>
          <w14:textFill>
            <w14:solidFill>
              <w14:schemeClr w14:val="tx1"/>
            </w14:solidFill>
          </w14:textFill>
        </w:rPr>
        <w:t>江苏响水经济开发区东风社区居民委员会</w:t>
      </w:r>
    </w:p>
    <w:p w14:paraId="5657F1DB">
      <w:pPr>
        <w:pageBreakBefore w:val="0"/>
        <w:widowControl w:val="0"/>
        <w:kinsoku/>
        <w:wordWrap/>
        <w:overflowPunct/>
        <w:topLinePunct w:val="0"/>
        <w:bidi w:val="0"/>
        <w:snapToGrid/>
        <w:spacing w:line="400" w:lineRule="exact"/>
        <w:textAlignment w:val="auto"/>
        <w:rPr>
          <w:rFonts w:hint="eastAsia" w:ascii="宋体" w:hAnsi="宋体" w:eastAsia="宋体" w:cs="宋体"/>
          <w:b/>
          <w:color w:val="000000" w:themeColor="text1"/>
          <w:sz w:val="22"/>
          <w:szCs w:val="22"/>
          <w:highlight w:val="none"/>
          <w:u w:val="singl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承包人（全称）：</w:t>
      </w:r>
    </w:p>
    <w:p w14:paraId="426E0ACD">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根据《中华人民共和国</w:t>
      </w:r>
      <w:r>
        <w:rPr>
          <w:rFonts w:hint="eastAsia" w:ascii="宋体" w:hAnsi="宋体" w:eastAsia="宋体" w:cs="宋体"/>
          <w:color w:val="000000" w:themeColor="text1"/>
          <w:highlight w:val="none"/>
          <w14:textFill>
            <w14:solidFill>
              <w14:schemeClr w14:val="tx1"/>
            </w14:solidFill>
          </w14:textFill>
        </w:rPr>
        <w:t>民法典</w:t>
      </w:r>
      <w:r>
        <w:rPr>
          <w:rFonts w:hint="eastAsia" w:ascii="宋体" w:hAnsi="宋体" w:eastAsia="宋体" w:cs="宋体"/>
          <w:color w:val="000000" w:themeColor="text1"/>
          <w:sz w:val="22"/>
          <w:szCs w:val="22"/>
          <w:highlight w:val="none"/>
          <w14:textFill>
            <w14:solidFill>
              <w14:schemeClr w14:val="tx1"/>
            </w14:solidFill>
          </w14:textFill>
        </w:rPr>
        <w:t>》、《中华人民共和国建筑法》及有关法律规定，遵循平等、自愿、公平和诚实信用的原则，双方就</w:t>
      </w:r>
      <w:r>
        <w:rPr>
          <w:rFonts w:hint="eastAsia" w:ascii="宋体" w:hAnsi="宋体" w:cs="宋体"/>
          <w:b/>
          <w:bCs/>
          <w:color w:val="000000" w:themeColor="text1"/>
          <w:sz w:val="22"/>
          <w:szCs w:val="22"/>
          <w:highlight w:val="none"/>
          <w:u w:val="single"/>
          <w:lang w:eastAsia="zh-CN"/>
          <w14:textFill>
            <w14:solidFill>
              <w14:schemeClr w14:val="tx1"/>
            </w14:solidFill>
          </w14:textFill>
        </w:rPr>
        <w:t>响水县开发区东风社区道路维修工程</w:t>
      </w:r>
      <w:r>
        <w:rPr>
          <w:rFonts w:hint="eastAsia" w:ascii="宋体" w:hAnsi="宋体" w:eastAsia="宋体" w:cs="宋体"/>
          <w:color w:val="000000" w:themeColor="text1"/>
          <w:sz w:val="22"/>
          <w:szCs w:val="22"/>
          <w:highlight w:val="none"/>
          <w14:textFill>
            <w14:solidFill>
              <w14:schemeClr w14:val="tx1"/>
            </w14:solidFill>
          </w14:textFill>
        </w:rPr>
        <w:t>施工及有关事项协商一致，共同达成如下协议：</w:t>
      </w:r>
    </w:p>
    <w:p w14:paraId="4EC9DEF7">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0" w:name="_Toc351203481"/>
      <w:r>
        <w:rPr>
          <w:rFonts w:hint="eastAsia" w:ascii="宋体" w:hAnsi="宋体" w:eastAsia="宋体" w:cs="宋体"/>
          <w:b w:val="0"/>
          <w:color w:val="000000" w:themeColor="text1"/>
          <w:sz w:val="22"/>
          <w:szCs w:val="22"/>
          <w:highlight w:val="none"/>
          <w14:textFill>
            <w14:solidFill>
              <w14:schemeClr w14:val="tx1"/>
            </w14:solidFill>
          </w14:textFill>
        </w:rPr>
        <w:t>一、工程概况</w:t>
      </w:r>
      <w:bookmarkEnd w:id="10"/>
    </w:p>
    <w:p w14:paraId="022D8C11">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1.工程名称</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cs="宋体"/>
          <w:color w:val="000000" w:themeColor="text1"/>
          <w:sz w:val="22"/>
          <w:szCs w:val="22"/>
          <w:highlight w:val="none"/>
          <w:u w:val="single"/>
          <w:lang w:eastAsia="zh-CN"/>
          <w14:textFill>
            <w14:solidFill>
              <w14:schemeClr w14:val="tx1"/>
            </w14:solidFill>
          </w14:textFill>
        </w:rPr>
        <w:t>响水县开发区东风社区道路维修工程</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4E20252">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2.工程地点：</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响水县</w:t>
      </w:r>
      <w:r>
        <w:rPr>
          <w:rFonts w:hint="eastAsia" w:ascii="宋体" w:hAnsi="宋体" w:eastAsia="宋体" w:cs="宋体"/>
          <w:color w:val="000000" w:themeColor="text1"/>
          <w:sz w:val="22"/>
          <w:szCs w:val="22"/>
          <w:highlight w:val="none"/>
          <w:u w:val="single"/>
          <w14:textFill>
            <w14:solidFill>
              <w14:schemeClr w14:val="tx1"/>
            </w14:solidFill>
          </w14:textFill>
        </w:rPr>
        <w:t xml:space="preserve">境内 </w:t>
      </w:r>
      <w:r>
        <w:rPr>
          <w:rFonts w:hint="eastAsia" w:ascii="宋体" w:hAnsi="宋体" w:eastAsia="宋体" w:cs="宋体"/>
          <w:color w:val="000000" w:themeColor="text1"/>
          <w:sz w:val="22"/>
          <w:szCs w:val="22"/>
          <w:highlight w:val="none"/>
          <w14:textFill>
            <w14:solidFill>
              <w14:schemeClr w14:val="tx1"/>
            </w14:solidFill>
          </w14:textFill>
        </w:rPr>
        <w:t>。</w:t>
      </w:r>
    </w:p>
    <w:p w14:paraId="4720713D">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3.工程立项批准文号：</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w:t>
      </w:r>
    </w:p>
    <w:p w14:paraId="38C1C28F">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4.资金来源：</w:t>
      </w:r>
      <w:r>
        <w:rPr>
          <w:rFonts w:hint="eastAsia" w:ascii="宋体" w:hAnsi="宋体" w:cs="宋体"/>
          <w:color w:val="000000" w:themeColor="text1"/>
          <w:sz w:val="22"/>
          <w:szCs w:val="22"/>
          <w:highlight w:val="none"/>
          <w:u w:val="single"/>
          <w:lang w:eastAsia="zh-CN"/>
          <w14:textFill>
            <w14:solidFill>
              <w14:schemeClr w14:val="tx1"/>
            </w14:solidFill>
          </w14:textFill>
        </w:rPr>
        <w:t>村集体资金</w:t>
      </w:r>
      <w:r>
        <w:rPr>
          <w:rFonts w:hint="eastAsia" w:ascii="宋体" w:hAnsi="宋体" w:eastAsia="宋体" w:cs="宋体"/>
          <w:bCs/>
          <w:color w:val="000000" w:themeColor="text1"/>
          <w:sz w:val="22"/>
          <w:szCs w:val="22"/>
          <w:highlight w:val="none"/>
          <w14:textFill>
            <w14:solidFill>
              <w14:schemeClr w14:val="tx1"/>
            </w14:solidFill>
          </w14:textFill>
        </w:rPr>
        <w:t>。</w:t>
      </w:r>
    </w:p>
    <w:p w14:paraId="7DB0348F">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5.工程内容：</w:t>
      </w:r>
      <w:r>
        <w:rPr>
          <w:rFonts w:hint="eastAsia" w:ascii="宋体" w:hAnsi="宋体" w:cs="宋体"/>
          <w:bCs/>
          <w:color w:val="000000" w:themeColor="text1"/>
          <w:sz w:val="22"/>
          <w:szCs w:val="22"/>
          <w:highlight w:val="none"/>
          <w:u w:val="single"/>
          <w:lang w:eastAsia="zh-CN"/>
          <w14:textFill>
            <w14:solidFill>
              <w14:schemeClr w14:val="tx1"/>
            </w14:solidFill>
          </w14:textFill>
        </w:rPr>
        <w:t>响水县开发区东风社区道路维修工程</w:t>
      </w:r>
      <w:r>
        <w:rPr>
          <w:rFonts w:hint="eastAsia" w:ascii="宋体" w:hAnsi="宋体" w:eastAsia="宋体" w:cs="宋体"/>
          <w:bCs/>
          <w:color w:val="000000" w:themeColor="text1"/>
          <w:sz w:val="22"/>
          <w:szCs w:val="22"/>
          <w:highlight w:val="none"/>
          <w:u w:val="single"/>
          <w14:textFill>
            <w14:solidFill>
              <w14:schemeClr w14:val="tx1"/>
            </w14:solidFill>
          </w14:textFill>
        </w:rPr>
        <w:t>，具体内容详见招标人提供的图纸</w:t>
      </w:r>
      <w:r>
        <w:rPr>
          <w:rFonts w:hint="eastAsia" w:ascii="宋体" w:hAnsi="宋体" w:cs="宋体"/>
          <w:bCs/>
          <w:color w:val="000000" w:themeColor="text1"/>
          <w:sz w:val="22"/>
          <w:szCs w:val="22"/>
          <w:highlight w:val="none"/>
          <w:u w:val="single"/>
          <w:lang w:val="en-US" w:eastAsia="zh-CN"/>
          <w14:textFill>
            <w14:solidFill>
              <w14:schemeClr w14:val="tx1"/>
            </w14:solidFill>
          </w14:textFill>
        </w:rPr>
        <w:t>或</w:t>
      </w:r>
      <w:r>
        <w:rPr>
          <w:rFonts w:hint="eastAsia" w:ascii="宋体" w:hAnsi="宋体" w:eastAsia="宋体" w:cs="宋体"/>
          <w:bCs/>
          <w:color w:val="000000" w:themeColor="text1"/>
          <w:sz w:val="22"/>
          <w:szCs w:val="22"/>
          <w:highlight w:val="none"/>
          <w:u w:val="single"/>
          <w14:textFill>
            <w14:solidFill>
              <w14:schemeClr w14:val="tx1"/>
            </w14:solidFill>
          </w14:textFill>
        </w:rPr>
        <w:t>工程量清单。</w:t>
      </w:r>
    </w:p>
    <w:p w14:paraId="230FFC79">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群体工程应附《承包人承揽工程项目一览表》（附件1）。</w:t>
      </w:r>
    </w:p>
    <w:p w14:paraId="4DB1B175">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6.工程承包范围：</w:t>
      </w:r>
      <w:r>
        <w:rPr>
          <w:rFonts w:hint="eastAsia" w:ascii="宋体" w:hAnsi="宋体" w:cs="宋体"/>
          <w:bCs/>
          <w:color w:val="000000" w:themeColor="text1"/>
          <w:sz w:val="22"/>
          <w:szCs w:val="22"/>
          <w:highlight w:val="none"/>
          <w:u w:val="single"/>
          <w:lang w:eastAsia="zh-CN"/>
          <w14:textFill>
            <w14:solidFill>
              <w14:schemeClr w14:val="tx1"/>
            </w14:solidFill>
          </w14:textFill>
        </w:rPr>
        <w:t>响水县开发区东风社区道路维修工程</w:t>
      </w:r>
      <w:r>
        <w:rPr>
          <w:rFonts w:hint="eastAsia" w:ascii="宋体" w:hAnsi="宋体" w:eastAsia="宋体" w:cs="宋体"/>
          <w:bCs/>
          <w:color w:val="000000" w:themeColor="text1"/>
          <w:sz w:val="22"/>
          <w:szCs w:val="22"/>
          <w:highlight w:val="none"/>
          <w:u w:val="single"/>
          <w14:textFill>
            <w14:solidFill>
              <w14:schemeClr w14:val="tx1"/>
            </w14:solidFill>
          </w14:textFill>
        </w:rPr>
        <w:t>，具体内容详见招标人提供的图纸</w:t>
      </w:r>
      <w:r>
        <w:rPr>
          <w:rFonts w:hint="eastAsia" w:ascii="宋体" w:hAnsi="宋体" w:cs="宋体"/>
          <w:bCs/>
          <w:color w:val="000000" w:themeColor="text1"/>
          <w:sz w:val="22"/>
          <w:szCs w:val="22"/>
          <w:highlight w:val="none"/>
          <w:u w:val="single"/>
          <w:lang w:val="en-US" w:eastAsia="zh-CN"/>
          <w14:textFill>
            <w14:solidFill>
              <w14:schemeClr w14:val="tx1"/>
            </w14:solidFill>
          </w14:textFill>
        </w:rPr>
        <w:t>或</w:t>
      </w:r>
      <w:r>
        <w:rPr>
          <w:rFonts w:hint="eastAsia" w:ascii="宋体" w:hAnsi="宋体" w:eastAsia="宋体" w:cs="宋体"/>
          <w:bCs/>
          <w:color w:val="000000" w:themeColor="text1"/>
          <w:sz w:val="22"/>
          <w:szCs w:val="22"/>
          <w:highlight w:val="none"/>
          <w:u w:val="single"/>
          <w14:textFill>
            <w14:solidFill>
              <w14:schemeClr w14:val="tx1"/>
            </w14:solidFill>
          </w14:textFill>
        </w:rPr>
        <w:t>工程量清单。</w:t>
      </w:r>
      <w:r>
        <w:rPr>
          <w:rFonts w:hint="eastAsia" w:ascii="宋体" w:hAnsi="宋体" w:eastAsia="宋体" w:cs="宋体"/>
          <w:color w:val="000000" w:themeColor="text1"/>
          <w:sz w:val="22"/>
          <w:szCs w:val="22"/>
          <w:highlight w:val="none"/>
          <w:u w:val="single"/>
          <w14:textFill>
            <w14:solidFill>
              <w14:schemeClr w14:val="tx1"/>
            </w14:solidFill>
          </w14:textFill>
        </w:rPr>
        <w:t>发包人保留对上述工程规模进行适当调整的权利。</w:t>
      </w:r>
    </w:p>
    <w:p w14:paraId="1F3CC699">
      <w:pPr>
        <w:pageBreakBefore w:val="0"/>
        <w:widowControl w:val="0"/>
        <w:kinsoku/>
        <w:wordWrap/>
        <w:overflowPunct/>
        <w:topLinePunct w:val="0"/>
        <w:bidi w:val="0"/>
        <w:snapToGrid/>
        <w:spacing w:line="400" w:lineRule="exact"/>
        <w:ind w:firstLine="442" w:firstLineChars="200"/>
        <w:textAlignment w:val="auto"/>
        <w:rPr>
          <w:rFonts w:hint="eastAsia" w:ascii="宋体" w:hAnsi="宋体" w:eastAsia="宋体" w:cs="宋体"/>
          <w:b/>
          <w:color w:val="000000" w:themeColor="text1"/>
          <w:sz w:val="22"/>
          <w:szCs w:val="22"/>
          <w:highlight w:val="none"/>
          <w14:textFill>
            <w14:solidFill>
              <w14:schemeClr w14:val="tx1"/>
            </w14:solidFill>
          </w14:textFill>
        </w:rPr>
      </w:pPr>
      <w:bookmarkStart w:id="11" w:name="_Toc351203482"/>
      <w:r>
        <w:rPr>
          <w:rFonts w:hint="eastAsia" w:ascii="宋体" w:hAnsi="宋体" w:eastAsia="宋体" w:cs="宋体"/>
          <w:b/>
          <w:color w:val="000000" w:themeColor="text1"/>
          <w:sz w:val="22"/>
          <w:szCs w:val="22"/>
          <w:highlight w:val="none"/>
          <w14:textFill>
            <w14:solidFill>
              <w14:schemeClr w14:val="tx1"/>
            </w14:solidFill>
          </w14:textFill>
        </w:rPr>
        <w:t>二、合同工期</w:t>
      </w:r>
      <w:bookmarkEnd w:id="11"/>
    </w:p>
    <w:p w14:paraId="798B6B84">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计划开工日期：</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年</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月</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日。</w:t>
      </w:r>
    </w:p>
    <w:p w14:paraId="0D2F73EF">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计划竣工日期：</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年</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月</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日。</w:t>
      </w:r>
    </w:p>
    <w:p w14:paraId="767BE321">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工期总日历天数：</w:t>
      </w:r>
      <w:r>
        <w:rPr>
          <w:rFonts w:hint="eastAsia" w:ascii="宋体" w:hAnsi="宋体" w:cs="宋体"/>
          <w:color w:val="000000" w:themeColor="text1"/>
          <w:sz w:val="22"/>
          <w:szCs w:val="22"/>
          <w:highlight w:val="none"/>
          <w:u w:val="single"/>
          <w:lang w:val="en-US" w:eastAsia="zh-CN"/>
          <w14:textFill>
            <w14:solidFill>
              <w14:schemeClr w14:val="tx1"/>
            </w14:solidFill>
          </w14:textFill>
        </w:rPr>
        <w:t>7日历天</w:t>
      </w:r>
      <w:r>
        <w:rPr>
          <w:rFonts w:hint="eastAsia" w:ascii="宋体" w:hAnsi="宋体" w:eastAsia="宋体" w:cs="宋体"/>
          <w:color w:val="000000" w:themeColor="text1"/>
          <w:sz w:val="22"/>
          <w:szCs w:val="22"/>
          <w:highlight w:val="none"/>
          <w14:textFill>
            <w14:solidFill>
              <w14:schemeClr w14:val="tx1"/>
            </w14:solidFill>
          </w14:textFill>
        </w:rPr>
        <w:t>，从签订合同之日起开始计算期限。</w:t>
      </w:r>
    </w:p>
    <w:p w14:paraId="0AEAB9EF">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2" w:name="_Toc351203483"/>
      <w:r>
        <w:rPr>
          <w:rFonts w:hint="eastAsia" w:ascii="宋体" w:hAnsi="宋体" w:eastAsia="宋体" w:cs="宋体"/>
          <w:b w:val="0"/>
          <w:color w:val="000000" w:themeColor="text1"/>
          <w:sz w:val="22"/>
          <w:szCs w:val="22"/>
          <w:highlight w:val="none"/>
          <w14:textFill>
            <w14:solidFill>
              <w14:schemeClr w14:val="tx1"/>
            </w14:solidFill>
          </w14:textFill>
        </w:rPr>
        <w:t>三、质量标准</w:t>
      </w:r>
      <w:bookmarkEnd w:id="12"/>
    </w:p>
    <w:p w14:paraId="3CF491A7">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工程质量符合</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合格</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标准。</w:t>
      </w:r>
    </w:p>
    <w:p w14:paraId="11BA6E47">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3" w:name="_Toc351203484"/>
      <w:r>
        <w:rPr>
          <w:rFonts w:hint="eastAsia" w:ascii="宋体" w:hAnsi="宋体" w:eastAsia="宋体" w:cs="宋体"/>
          <w:b w:val="0"/>
          <w:color w:val="000000" w:themeColor="text1"/>
          <w:sz w:val="22"/>
          <w:szCs w:val="22"/>
          <w:highlight w:val="none"/>
          <w14:textFill>
            <w14:solidFill>
              <w14:schemeClr w14:val="tx1"/>
            </w14:solidFill>
          </w14:textFill>
        </w:rPr>
        <w:t>四、签约合同价与合同价格形式</w:t>
      </w:r>
      <w:bookmarkEnd w:id="13"/>
      <w:r>
        <w:rPr>
          <w:rFonts w:hint="eastAsia" w:ascii="宋体" w:hAnsi="宋体" w:eastAsia="宋体" w:cs="宋体"/>
          <w:b w:val="0"/>
          <w:color w:val="000000" w:themeColor="text1"/>
          <w:sz w:val="22"/>
          <w:szCs w:val="22"/>
          <w:highlight w:val="none"/>
          <w14:textFill>
            <w14:solidFill>
              <w14:schemeClr w14:val="tx1"/>
            </w14:solidFill>
          </w14:textFill>
        </w:rPr>
        <w:tab/>
      </w:r>
    </w:p>
    <w:p w14:paraId="3AAE7F8C">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1.签约合同价为：</w:t>
      </w:r>
    </w:p>
    <w:p w14:paraId="0510A0C6">
      <w:pPr>
        <w:pageBreakBefore w:val="0"/>
        <w:widowControl w:val="0"/>
        <w:kinsoku/>
        <w:wordWrap/>
        <w:overflowPunct/>
        <w:topLinePunct w:val="0"/>
        <w:bidi w:val="0"/>
        <w:snapToGrid/>
        <w:spacing w:line="400" w:lineRule="exact"/>
        <w:ind w:firstLine="550" w:firstLineChars="2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人民币（大写）(¥元)；</w:t>
      </w:r>
    </w:p>
    <w:p w14:paraId="7516CB0C">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其中：</w:t>
      </w:r>
    </w:p>
    <w:p w14:paraId="33C326BE">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（1）安全文明施工费：</w:t>
      </w:r>
    </w:p>
    <w:p w14:paraId="35529787">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2DCA96F9">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（2）材料和工程设备暂估价金额：</w:t>
      </w:r>
    </w:p>
    <w:p w14:paraId="44A29898">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241326C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（3）专业工程暂估价金额：</w:t>
      </w:r>
    </w:p>
    <w:p w14:paraId="460BE11F">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33C5DFA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（4）暂列金额：</w:t>
      </w:r>
    </w:p>
    <w:p w14:paraId="5A01691C">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1FCB8EEE">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2.合同价格形式：</w:t>
      </w:r>
      <w:r>
        <w:rPr>
          <w:rFonts w:hint="eastAsia" w:ascii="宋体" w:hAnsi="宋体" w:eastAsia="宋体" w:cs="宋体"/>
          <w:color w:val="000000" w:themeColor="text1"/>
          <w:sz w:val="22"/>
          <w:szCs w:val="22"/>
          <w:highlight w:val="none"/>
          <w:u w:val="single"/>
          <w14:textFill>
            <w14:solidFill>
              <w14:schemeClr w14:val="tx1"/>
            </w14:solidFill>
          </w14:textFill>
        </w:rPr>
        <w:t>固定单价合同     </w:t>
      </w:r>
      <w:r>
        <w:rPr>
          <w:rFonts w:hint="eastAsia" w:ascii="宋体" w:hAnsi="宋体" w:eastAsia="宋体" w:cs="宋体"/>
          <w:color w:val="000000" w:themeColor="text1"/>
          <w:sz w:val="22"/>
          <w:szCs w:val="22"/>
          <w:highlight w:val="none"/>
          <w14:textFill>
            <w14:solidFill>
              <w14:schemeClr w14:val="tx1"/>
            </w14:solidFill>
          </w14:textFill>
        </w:rPr>
        <w:t>。</w:t>
      </w:r>
    </w:p>
    <w:p w14:paraId="592CD24C">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 w:val="0"/>
          <w:color w:val="000000" w:themeColor="text1"/>
          <w:sz w:val="22"/>
          <w:szCs w:val="22"/>
          <w:highlight w:val="none"/>
          <w14:textFill>
            <w14:solidFill>
              <w14:schemeClr w14:val="tx1"/>
            </w14:solidFill>
          </w14:textFill>
        </w:rPr>
      </w:pPr>
      <w:bookmarkStart w:id="14" w:name="_Toc351203485"/>
      <w:r>
        <w:rPr>
          <w:rFonts w:hint="eastAsia" w:ascii="宋体" w:hAnsi="宋体" w:eastAsia="宋体" w:cs="宋体"/>
          <w:b w:val="0"/>
          <w:color w:val="000000" w:themeColor="text1"/>
          <w:sz w:val="22"/>
          <w:szCs w:val="22"/>
          <w:highlight w:val="none"/>
          <w14:textFill>
            <w14:solidFill>
              <w14:schemeClr w14:val="tx1"/>
            </w14:solidFill>
          </w14:textFill>
        </w:rPr>
        <w:t>五、</w:t>
      </w:r>
      <w:bookmarkEnd w:id="14"/>
      <w:r>
        <w:rPr>
          <w:rFonts w:hint="eastAsia" w:ascii="宋体" w:hAnsi="宋体" w:eastAsia="宋体" w:cs="宋体"/>
          <w:b w:val="0"/>
          <w:color w:val="000000" w:themeColor="text1"/>
          <w:sz w:val="22"/>
          <w:szCs w:val="22"/>
          <w:highlight w:val="none"/>
          <w14:textFill>
            <w14:solidFill>
              <w14:schemeClr w14:val="tx1"/>
            </w14:solidFill>
          </w14:textFill>
        </w:rPr>
        <w:t>项目经理</w:t>
      </w:r>
    </w:p>
    <w:p w14:paraId="1A68AF6D">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承包人项目经理：</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FA9CFE5">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5" w:name="_Toc351203486"/>
      <w:r>
        <w:rPr>
          <w:rFonts w:hint="eastAsia" w:ascii="宋体" w:hAnsi="宋体" w:eastAsia="宋体" w:cs="宋体"/>
          <w:b w:val="0"/>
          <w:color w:val="000000" w:themeColor="text1"/>
          <w:sz w:val="22"/>
          <w:szCs w:val="22"/>
          <w:highlight w:val="none"/>
          <w14:textFill>
            <w14:solidFill>
              <w14:schemeClr w14:val="tx1"/>
            </w14:solidFill>
          </w14:textFill>
        </w:rPr>
        <w:t>六、合同文件构成</w:t>
      </w:r>
      <w:bookmarkEnd w:id="15"/>
    </w:p>
    <w:p w14:paraId="115865EB">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本协议书与下列文件一起构成合同文件：</w:t>
      </w:r>
    </w:p>
    <w:p w14:paraId="3B1BA54F">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（1）中标通知书（如果有）；</w:t>
      </w:r>
    </w:p>
    <w:p w14:paraId="603FB92E">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（2）投标函及其附录（如果有）； </w:t>
      </w:r>
    </w:p>
    <w:p w14:paraId="26FE2580">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（3）专用合同条款及其附件；</w:t>
      </w:r>
    </w:p>
    <w:p w14:paraId="7F2C05E9">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（4）通用合同条款；</w:t>
      </w:r>
    </w:p>
    <w:p w14:paraId="5BD81CB5">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（5）技术标准和要求；</w:t>
      </w:r>
    </w:p>
    <w:p w14:paraId="279184B3">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（6）图纸；</w:t>
      </w:r>
    </w:p>
    <w:p w14:paraId="3B168EC7">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（7）已标价工程量清单或预算书；</w:t>
      </w:r>
    </w:p>
    <w:p w14:paraId="369F5F19">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（8）其他合同文件。</w:t>
      </w:r>
    </w:p>
    <w:p w14:paraId="71E40F1F">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在合同订立及履行过程中形成的与合同有关的文件均构成合同文件组成部分。</w:t>
      </w:r>
    </w:p>
    <w:p w14:paraId="48A37700">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74C01F04">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 w:val="0"/>
          <w:bCs w:val="0"/>
          <w:color w:val="000000" w:themeColor="text1"/>
          <w:sz w:val="22"/>
          <w:szCs w:val="22"/>
          <w:highlight w:val="none"/>
          <w14:textFill>
            <w14:solidFill>
              <w14:schemeClr w14:val="tx1"/>
            </w14:solidFill>
          </w14:textFill>
        </w:rPr>
      </w:pPr>
      <w:bookmarkStart w:id="16" w:name="_Toc351203487"/>
      <w:r>
        <w:rPr>
          <w:rFonts w:hint="eastAsia" w:ascii="宋体" w:hAnsi="宋体" w:eastAsia="宋体" w:cs="宋体"/>
          <w:b w:val="0"/>
          <w:color w:val="000000" w:themeColor="text1"/>
          <w:sz w:val="22"/>
          <w:szCs w:val="22"/>
          <w:highlight w:val="none"/>
          <w14:textFill>
            <w14:solidFill>
              <w14:schemeClr w14:val="tx1"/>
            </w14:solidFill>
          </w14:textFill>
        </w:rPr>
        <w:t>七、承诺</w:t>
      </w:r>
      <w:bookmarkEnd w:id="16"/>
    </w:p>
    <w:p w14:paraId="11C3D986">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1.发包人承诺按照法律规定履行项目审批手续、筹集工程建设资金并按照合同约定的期限和方式支付合同价款。</w:t>
      </w:r>
    </w:p>
    <w:p w14:paraId="4CB2FCE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65A1BB8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3.发包人和承包人通过招投标形式签订合同的，双方理解并承诺不再就同一工程另行签订与合同实质性内容相背离的协议。</w:t>
      </w:r>
    </w:p>
    <w:p w14:paraId="5B88DFC8">
      <w:pPr>
        <w:pageBreakBefore w:val="0"/>
        <w:widowControl w:val="0"/>
        <w:kinsoku/>
        <w:wordWrap/>
        <w:overflowPunct/>
        <w:topLinePunct w:val="0"/>
        <w:bidi w:val="0"/>
        <w:snapToGrid/>
        <w:spacing w:line="400" w:lineRule="exact"/>
        <w:textAlignment w:val="auto"/>
        <w:rPr>
          <w:rFonts w:hint="eastAsia" w:ascii="宋体" w:hAnsi="宋体" w:eastAsia="宋体" w:cs="宋体"/>
          <w:bCs/>
          <w:color w:val="000000" w:themeColor="text1"/>
          <w:sz w:val="22"/>
          <w:szCs w:val="22"/>
          <w:highlight w:val="none"/>
          <w14:textFill>
            <w14:solidFill>
              <w14:schemeClr w14:val="tx1"/>
            </w14:solidFill>
          </w14:textFill>
        </w:rPr>
      </w:pPr>
      <w:bookmarkStart w:id="17" w:name="_Toc351203488"/>
      <w:r>
        <w:rPr>
          <w:rFonts w:hint="eastAsia" w:ascii="宋体" w:hAnsi="宋体" w:eastAsia="宋体" w:cs="宋体"/>
          <w:b/>
          <w:color w:val="000000" w:themeColor="text1"/>
          <w:sz w:val="22"/>
          <w:szCs w:val="22"/>
          <w:highlight w:val="none"/>
          <w14:textFill>
            <w14:solidFill>
              <w14:schemeClr w14:val="tx1"/>
            </w14:solidFill>
          </w14:textFill>
        </w:rPr>
        <w:t xml:space="preserve">    八、词语含义</w:t>
      </w:r>
      <w:bookmarkEnd w:id="17"/>
    </w:p>
    <w:p w14:paraId="4C830A44">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本协议书中词语含义与第二部分通用合同条款中赋予的含义相同。</w:t>
      </w:r>
    </w:p>
    <w:p w14:paraId="3BE340CA">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8" w:name="_Toc351203489"/>
      <w:r>
        <w:rPr>
          <w:rFonts w:hint="eastAsia" w:ascii="宋体" w:hAnsi="宋体" w:eastAsia="宋体" w:cs="宋体"/>
          <w:b w:val="0"/>
          <w:color w:val="000000" w:themeColor="text1"/>
          <w:sz w:val="22"/>
          <w:szCs w:val="22"/>
          <w:highlight w:val="none"/>
          <w14:textFill>
            <w14:solidFill>
              <w14:schemeClr w14:val="tx1"/>
            </w14:solidFill>
          </w14:textFill>
        </w:rPr>
        <w:t>九、签订时间</w:t>
      </w:r>
      <w:bookmarkEnd w:id="18"/>
    </w:p>
    <w:p w14:paraId="0BE52F6F">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本合同于</w:t>
      </w:r>
      <w:r>
        <w:rPr>
          <w:rFonts w:hint="eastAsia" w:ascii="宋体" w:hAnsi="宋体" w:eastAsia="宋体" w:cs="宋体"/>
          <w:bCs/>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年</w:t>
      </w:r>
      <w:r>
        <w:rPr>
          <w:rFonts w:hint="eastAsia" w:ascii="宋体" w:hAnsi="宋体" w:eastAsia="宋体" w:cs="宋体"/>
          <w:bCs/>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月</w:t>
      </w:r>
      <w:r>
        <w:rPr>
          <w:rFonts w:hint="eastAsia" w:ascii="宋体" w:hAnsi="宋体" w:eastAsia="宋体" w:cs="宋体"/>
          <w:bCs/>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日签订。</w:t>
      </w:r>
    </w:p>
    <w:p w14:paraId="266E9F9F">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9" w:name="_Toc351203490"/>
      <w:r>
        <w:rPr>
          <w:rFonts w:hint="eastAsia" w:ascii="宋体" w:hAnsi="宋体" w:eastAsia="宋体" w:cs="宋体"/>
          <w:b w:val="0"/>
          <w:color w:val="000000" w:themeColor="text1"/>
          <w:sz w:val="22"/>
          <w:szCs w:val="22"/>
          <w:highlight w:val="none"/>
          <w14:textFill>
            <w14:solidFill>
              <w14:schemeClr w14:val="tx1"/>
            </w14:solidFill>
          </w14:textFill>
        </w:rPr>
        <w:t>十、签订地点</w:t>
      </w:r>
      <w:bookmarkEnd w:id="19"/>
    </w:p>
    <w:p w14:paraId="7689286F">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本合同在</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w:t>
      </w:r>
      <w:r>
        <w:rPr>
          <w:rFonts w:hint="eastAsia" w:ascii="宋体" w:hAnsi="宋体" w:cs="宋体"/>
          <w:bCs/>
          <w:color w:val="000000" w:themeColor="text1"/>
          <w:sz w:val="22"/>
          <w:szCs w:val="22"/>
          <w:highlight w:val="none"/>
          <w:u w:val="single"/>
          <w:lang w:val="en-US" w:eastAsia="zh-CN"/>
          <w14:textFill>
            <w14:solidFill>
              <w14:schemeClr w14:val="tx1"/>
            </w14:solidFill>
          </w14:textFill>
        </w:rPr>
        <w:t>江苏响水经济开发区东风社区居民委员会</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签订。</w:t>
      </w:r>
    </w:p>
    <w:p w14:paraId="5DCEE607">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20" w:name="_Toc351203491"/>
      <w:r>
        <w:rPr>
          <w:rFonts w:hint="eastAsia" w:ascii="宋体" w:hAnsi="宋体" w:eastAsia="宋体" w:cs="宋体"/>
          <w:b w:val="0"/>
          <w:color w:val="000000" w:themeColor="text1"/>
          <w:sz w:val="22"/>
          <w:szCs w:val="22"/>
          <w:highlight w:val="none"/>
          <w14:textFill>
            <w14:solidFill>
              <w14:schemeClr w14:val="tx1"/>
            </w14:solidFill>
          </w14:textFill>
        </w:rPr>
        <w:t>十一、补充协议</w:t>
      </w:r>
      <w:bookmarkEnd w:id="20"/>
    </w:p>
    <w:p w14:paraId="484D3AD4">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合同未尽事宜，合同当事人另行签订补充协议，补充协议是合同的组成部分。</w:t>
      </w:r>
    </w:p>
    <w:p w14:paraId="6C7419AF">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21" w:name="_Toc351203492"/>
      <w:r>
        <w:rPr>
          <w:rFonts w:hint="eastAsia" w:ascii="宋体" w:hAnsi="宋体" w:eastAsia="宋体" w:cs="宋体"/>
          <w:b w:val="0"/>
          <w:color w:val="000000" w:themeColor="text1"/>
          <w:sz w:val="22"/>
          <w:szCs w:val="22"/>
          <w:highlight w:val="none"/>
          <w14:textFill>
            <w14:solidFill>
              <w14:schemeClr w14:val="tx1"/>
            </w14:solidFill>
          </w14:textFill>
        </w:rPr>
        <w:t>十二、合同生效</w:t>
      </w:r>
      <w:bookmarkEnd w:id="21"/>
    </w:p>
    <w:p w14:paraId="4BC02498">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本合同自</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双方签字盖章后  </w:t>
      </w:r>
      <w:r>
        <w:rPr>
          <w:rFonts w:hint="eastAsia" w:ascii="宋体" w:hAnsi="宋体" w:eastAsia="宋体" w:cs="宋体"/>
          <w:bCs/>
          <w:color w:val="000000" w:themeColor="text1"/>
          <w:sz w:val="22"/>
          <w:szCs w:val="22"/>
          <w:highlight w:val="none"/>
          <w14:textFill>
            <w14:solidFill>
              <w14:schemeClr w14:val="tx1"/>
            </w14:solidFill>
          </w14:textFill>
        </w:rPr>
        <w:t>生效。</w:t>
      </w:r>
    </w:p>
    <w:p w14:paraId="7CA3A18E">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22" w:name="_Toc351203493"/>
      <w:r>
        <w:rPr>
          <w:rFonts w:hint="eastAsia" w:ascii="宋体" w:hAnsi="宋体" w:eastAsia="宋体" w:cs="宋体"/>
          <w:b w:val="0"/>
          <w:color w:val="000000" w:themeColor="text1"/>
          <w:sz w:val="22"/>
          <w:szCs w:val="22"/>
          <w:highlight w:val="none"/>
          <w14:textFill>
            <w14:solidFill>
              <w14:schemeClr w14:val="tx1"/>
            </w14:solidFill>
          </w14:textFill>
        </w:rPr>
        <w:t>十三、合同份数</w:t>
      </w:r>
      <w:bookmarkEnd w:id="22"/>
    </w:p>
    <w:p w14:paraId="787ECFB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本合同一式</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拾 </w:t>
      </w:r>
      <w:r>
        <w:rPr>
          <w:rFonts w:hint="eastAsia" w:ascii="宋体" w:hAnsi="宋体" w:eastAsia="宋体" w:cs="宋体"/>
          <w:bCs/>
          <w:color w:val="000000" w:themeColor="text1"/>
          <w:sz w:val="22"/>
          <w:szCs w:val="22"/>
          <w:highlight w:val="none"/>
          <w14:textFill>
            <w14:solidFill>
              <w14:schemeClr w14:val="tx1"/>
            </w14:solidFill>
          </w14:textFill>
        </w:rPr>
        <w:t>份，均具有同等法律效力，发包人执</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伍 </w:t>
      </w:r>
      <w:r>
        <w:rPr>
          <w:rFonts w:hint="eastAsia" w:ascii="宋体" w:hAnsi="宋体" w:eastAsia="宋体" w:cs="宋体"/>
          <w:bCs/>
          <w:color w:val="000000" w:themeColor="text1"/>
          <w:sz w:val="22"/>
          <w:szCs w:val="22"/>
          <w:highlight w:val="none"/>
          <w14:textFill>
            <w14:solidFill>
              <w14:schemeClr w14:val="tx1"/>
            </w14:solidFill>
          </w14:textFill>
        </w:rPr>
        <w:t>份，承包人执</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伍 </w:t>
      </w:r>
      <w:r>
        <w:rPr>
          <w:rFonts w:hint="eastAsia" w:ascii="宋体" w:hAnsi="宋体" w:eastAsia="宋体" w:cs="宋体"/>
          <w:bCs/>
          <w:color w:val="000000" w:themeColor="text1"/>
          <w:sz w:val="22"/>
          <w:szCs w:val="22"/>
          <w:highlight w:val="none"/>
          <w14:textFill>
            <w14:solidFill>
              <w14:schemeClr w14:val="tx1"/>
            </w14:solidFill>
          </w14:textFill>
        </w:rPr>
        <w:t>份。</w:t>
      </w:r>
    </w:p>
    <w:p w14:paraId="630B4B50">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发包人：  (公章)             承包人：  (公章)                               </w:t>
      </w:r>
    </w:p>
    <w:p w14:paraId="39DC5EDE">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法定代表人或其委托代理人：  法定代表人或其委托代理人：</w:t>
      </w:r>
    </w:p>
    <w:p w14:paraId="5E5F5381">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（签字）                    （签字）</w:t>
      </w:r>
    </w:p>
    <w:p w14:paraId="7B83C6D8">
      <w:pPr>
        <w:pageBreakBefore w:val="0"/>
        <w:widowControl w:val="0"/>
        <w:tabs>
          <w:tab w:val="left" w:pos="4410"/>
        </w:tabs>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p>
    <w:p w14:paraId="549D06FC">
      <w:pPr>
        <w:pageBreakBefore w:val="0"/>
        <w:widowControl w:val="0"/>
        <w:tabs>
          <w:tab w:val="left" w:pos="4410"/>
        </w:tabs>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组织机构代码：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组织机构代码：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p>
    <w:p w14:paraId="41A20A5A">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9F2CF74">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48B0E399">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法定代表人：</w:t>
      </w:r>
      <w:r>
        <w:rPr>
          <w:rFonts w:hint="eastAsia" w:ascii="宋体" w:hAnsi="宋体" w:eastAsia="宋体" w:cs="宋体"/>
          <w:color w:val="000000" w:themeColor="text1"/>
          <w:sz w:val="22"/>
          <w:szCs w:val="22"/>
          <w:highlight w:val="none"/>
          <w:u w:val="single"/>
          <w14:textFill>
            <w14:solidFill>
              <w14:schemeClr w14:val="tx1"/>
            </w14:solidFill>
          </w14:textFill>
        </w:rPr>
        <w:t>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法定代表人：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p>
    <w:p w14:paraId="76FC13FA">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委托代理人：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委托代理人：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44A4BB8">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04085BD2">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B634539">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682B0D0">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0D85AE9">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37C5D93A">
      <w:pPr>
        <w:pStyle w:val="4"/>
        <w:spacing w:before="0" w:after="0" w:line="480" w:lineRule="exact"/>
        <w:ind w:firstLine="118"/>
        <w:jc w:val="center"/>
        <w:rPr>
          <w:rFonts w:hint="eastAsia" w:ascii="宋体" w:hAnsi="宋体" w:eastAsia="宋体" w:cs="宋体"/>
          <w:b w:val="0"/>
          <w:color w:val="000000" w:themeColor="text1"/>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br w:type="page"/>
      </w:r>
      <w:r>
        <w:rPr>
          <w:rFonts w:hint="eastAsia" w:ascii="宋体" w:hAnsi="宋体" w:eastAsia="宋体" w:cs="宋体"/>
          <w:color w:val="000000" w:themeColor="text1"/>
          <w:highlight w:val="none"/>
          <w:lang w:val="zh-CN"/>
          <w14:textFill>
            <w14:solidFill>
              <w14:schemeClr w14:val="tx1"/>
            </w14:solidFill>
          </w14:textFill>
        </w:rPr>
        <w:t>第二部分 通用合同条款</w:t>
      </w:r>
    </w:p>
    <w:p w14:paraId="027BC990">
      <w:pPr>
        <w:spacing w:line="480" w:lineRule="exact"/>
        <w:rPr>
          <w:rFonts w:hint="eastAsia" w:ascii="宋体" w:hAnsi="宋体" w:eastAsia="宋体" w:cs="宋体"/>
          <w:b/>
          <w:color w:val="000000" w:themeColor="text1"/>
          <w:sz w:val="24"/>
          <w:highlight w:val="none"/>
          <w14:textFill>
            <w14:solidFill>
              <w14:schemeClr w14:val="tx1"/>
            </w14:solidFill>
          </w14:textFill>
        </w:rPr>
      </w:pPr>
    </w:p>
    <w:p w14:paraId="1FAF807C">
      <w:pPr>
        <w:spacing w:line="480" w:lineRule="exact"/>
        <w:ind w:firstLine="431" w:firstLineChars="196"/>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同建设工程施工合同（示范文本）（GF—2017—0201）内的通用合同条款</w:t>
      </w:r>
    </w:p>
    <w:p w14:paraId="13A71632">
      <w:pPr>
        <w:spacing w:line="480" w:lineRule="exact"/>
        <w:ind w:firstLine="216"/>
        <w:rPr>
          <w:rFonts w:hint="eastAsia" w:ascii="宋体" w:hAnsi="宋体" w:eastAsia="宋体" w:cs="宋体"/>
          <w:color w:val="000000" w:themeColor="text1"/>
          <w:sz w:val="24"/>
          <w:highlight w:val="none"/>
          <w:lang w:val="zh-CN"/>
          <w14:textFill>
            <w14:solidFill>
              <w14:schemeClr w14:val="tx1"/>
            </w14:solidFill>
          </w14:textFill>
        </w:rPr>
      </w:pPr>
    </w:p>
    <w:p w14:paraId="52616E78">
      <w:pPr>
        <w:pStyle w:val="4"/>
        <w:spacing w:before="0" w:after="0" w:line="480" w:lineRule="exact"/>
        <w:ind w:firstLine="118"/>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第三部分 专用合同条款</w:t>
      </w:r>
    </w:p>
    <w:p w14:paraId="7FF9EC3D">
      <w:pPr>
        <w:pStyle w:val="6"/>
        <w:pageBreakBefore w:val="0"/>
        <w:kinsoku/>
        <w:wordWrap/>
        <w:overflowPunct/>
        <w:topLinePunct w:val="0"/>
        <w:bidi w:val="0"/>
        <w:snapToGrid/>
        <w:spacing w:before="0" w:after="0" w:line="400" w:lineRule="exact"/>
        <w:rPr>
          <w:rFonts w:hint="eastAsia" w:ascii="宋体" w:hAnsi="宋体" w:eastAsia="宋体" w:cs="宋体"/>
          <w:b w:val="0"/>
          <w:color w:val="000000" w:themeColor="text1"/>
          <w:sz w:val="22"/>
          <w:szCs w:val="22"/>
          <w:highlight w:val="none"/>
          <w14:textFill>
            <w14:solidFill>
              <w14:schemeClr w14:val="tx1"/>
            </w14:solidFill>
          </w14:textFill>
        </w:rPr>
      </w:pPr>
      <w:bookmarkStart w:id="23" w:name="_Toc351203633"/>
      <w:r>
        <w:rPr>
          <w:rFonts w:hint="eastAsia" w:ascii="宋体" w:hAnsi="宋体" w:eastAsia="宋体" w:cs="宋体"/>
          <w:b w:val="0"/>
          <w:color w:val="000000" w:themeColor="text1"/>
          <w:sz w:val="22"/>
          <w:szCs w:val="22"/>
          <w:highlight w:val="none"/>
          <w14:textFill>
            <w14:solidFill>
              <w14:schemeClr w14:val="tx1"/>
            </w14:solidFill>
          </w14:textFill>
        </w:rPr>
        <w:t>1</w:t>
      </w:r>
      <w:bookmarkStart w:id="24" w:name="_Toc296890984"/>
      <w:bookmarkStart w:id="25" w:name="_Toc296346657"/>
      <w:bookmarkStart w:id="26" w:name="_Toc292559866"/>
      <w:bookmarkStart w:id="27" w:name="_Toc297120456"/>
      <w:bookmarkStart w:id="28" w:name="_Toc296503156"/>
      <w:bookmarkStart w:id="29" w:name="_Toc296891196"/>
      <w:bookmarkStart w:id="30" w:name="_Toc296347155"/>
      <w:bookmarkStart w:id="31" w:name="_Toc297048342"/>
      <w:bookmarkStart w:id="32" w:name="_Toc296944495"/>
      <w:bookmarkStart w:id="33" w:name="_Toc292559361"/>
      <w:r>
        <w:rPr>
          <w:rFonts w:hint="eastAsia" w:ascii="宋体" w:hAnsi="宋体" w:eastAsia="宋体" w:cs="宋体"/>
          <w:b w:val="0"/>
          <w:color w:val="000000" w:themeColor="text1"/>
          <w:sz w:val="22"/>
          <w:szCs w:val="22"/>
          <w:highlight w:val="none"/>
          <w14:textFill>
            <w14:solidFill>
              <w14:schemeClr w14:val="tx1"/>
            </w14:solidFill>
          </w14:textFill>
        </w:rPr>
        <w:t>. 一般约定</w:t>
      </w:r>
      <w:bookmarkEnd w:id="23"/>
    </w:p>
    <w:bookmarkEnd w:id="24"/>
    <w:bookmarkEnd w:id="25"/>
    <w:bookmarkEnd w:id="26"/>
    <w:bookmarkEnd w:id="27"/>
    <w:bookmarkEnd w:id="28"/>
    <w:bookmarkEnd w:id="29"/>
    <w:bookmarkEnd w:id="30"/>
    <w:bookmarkEnd w:id="31"/>
    <w:bookmarkEnd w:id="32"/>
    <w:bookmarkEnd w:id="33"/>
    <w:p w14:paraId="5A2156B4">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 词语定义</w:t>
      </w:r>
    </w:p>
    <w:p w14:paraId="4D85B3A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1.1.1合同</w:t>
      </w:r>
    </w:p>
    <w:p w14:paraId="020A7A8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1.1.1.10其他合同文件包括：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1）合同协议书；（2）中标通知书；（3）招标文件、投标文件（含已标价工程量清单）及其附件；（4）本合同专用条款；（5）通用合同条款；（6）标准、规范及有关技术文件；（7）图纸；（8）工程量清单；（9）发包人委托编制的预算书；（10）双方有关工程的洽商、变更等书面协议或文件等  </w:t>
      </w:r>
      <w:r>
        <w:rPr>
          <w:rFonts w:hint="eastAsia" w:ascii="宋体" w:hAnsi="宋体" w:eastAsia="宋体" w:cs="宋体"/>
          <w:color w:val="000000" w:themeColor="text1"/>
          <w:sz w:val="22"/>
          <w:szCs w:val="22"/>
          <w:highlight w:val="none"/>
          <w14:textFill>
            <w14:solidFill>
              <w14:schemeClr w14:val="tx1"/>
            </w14:solidFill>
          </w14:textFill>
        </w:rPr>
        <w:t>。</w:t>
      </w:r>
    </w:p>
    <w:p w14:paraId="68C7FA8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1.1.2 合同当事人及其他相关方</w:t>
      </w:r>
    </w:p>
    <w:p w14:paraId="7A1809D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1.1.2.4监理人：</w:t>
      </w:r>
    </w:p>
    <w:p w14:paraId="1009090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名    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07E07E4">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资质类别和等级：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  </w:t>
      </w:r>
      <w:r>
        <w:rPr>
          <w:rFonts w:hint="eastAsia" w:ascii="宋体" w:hAnsi="宋体" w:eastAsia="宋体" w:cs="宋体"/>
          <w:color w:val="000000" w:themeColor="text1"/>
          <w:sz w:val="22"/>
          <w:szCs w:val="22"/>
          <w:highlight w:val="none"/>
          <w14:textFill>
            <w14:solidFill>
              <w14:schemeClr w14:val="tx1"/>
            </w14:solidFill>
          </w14:textFill>
        </w:rPr>
        <w:t>；</w:t>
      </w:r>
    </w:p>
    <w:p w14:paraId="4D3A1F2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73C25A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1333155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07F34E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1.1.2.5 设计人：</w:t>
      </w:r>
    </w:p>
    <w:p w14:paraId="37E3B39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名    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7EDE85A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资质类别和等级：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2CDDC31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E62DA4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  </w:t>
      </w:r>
      <w:r>
        <w:rPr>
          <w:rFonts w:hint="eastAsia" w:ascii="宋体" w:hAnsi="宋体" w:eastAsia="宋体" w:cs="宋体"/>
          <w:color w:val="000000" w:themeColor="text1"/>
          <w:sz w:val="22"/>
          <w:szCs w:val="22"/>
          <w:highlight w:val="none"/>
          <w14:textFill>
            <w14:solidFill>
              <w14:schemeClr w14:val="tx1"/>
            </w14:solidFill>
          </w14:textFill>
        </w:rPr>
        <w:t>；</w:t>
      </w:r>
    </w:p>
    <w:p w14:paraId="2EA6064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3C8D2DE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 工程和设备</w:t>
      </w:r>
    </w:p>
    <w:p w14:paraId="10B979F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1.1.3.7 作为施工现场组成部分的其他场所包括：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0A31C13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1.1.3.9 永久占地包括：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8C6F14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1.1.3.10 临时占地包括：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如在规划红线外租用临时用地，费用由承包人承担</w:t>
      </w:r>
      <w:r>
        <w:rPr>
          <w:rFonts w:hint="eastAsia" w:ascii="宋体" w:hAnsi="宋体" w:eastAsia="宋体" w:cs="宋体"/>
          <w:color w:val="000000" w:themeColor="text1"/>
          <w:sz w:val="22"/>
          <w:szCs w:val="22"/>
          <w:highlight w:val="none"/>
          <w14:textFill>
            <w14:solidFill>
              <w14:schemeClr w14:val="tx1"/>
            </w14:solidFill>
          </w14:textFill>
        </w:rPr>
        <w:t>。</w:t>
      </w:r>
    </w:p>
    <w:p w14:paraId="14B1BEF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1.3法律 </w:t>
      </w:r>
    </w:p>
    <w:p w14:paraId="2BCCE70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适用于合同的其他规范性文件：</w:t>
      </w:r>
      <w:r>
        <w:rPr>
          <w:rFonts w:hint="eastAsia" w:ascii="宋体" w:hAnsi="宋体" w:eastAsia="宋体" w:cs="宋体"/>
          <w:color w:val="000000" w:themeColor="text1"/>
          <w:sz w:val="22"/>
          <w:szCs w:val="22"/>
          <w:highlight w:val="none"/>
          <w:u w:val="single"/>
          <w14:textFill>
            <w14:solidFill>
              <w14:schemeClr w14:val="tx1"/>
            </w14:solidFill>
          </w14:textFill>
        </w:rPr>
        <w:t xml:space="preserve">①《中华人民共和国民法典》；②《中华人民共和国建筑法》；③《中华人民共和国招标投标法》；④《建筑工程质量管理条例》；⑤《中华人民共和国安全生产法》； ⑥国家关于建设工程款结算的有关规定；⑦盐城市相关的法规和政策文件等 。 </w:t>
      </w:r>
    </w:p>
    <w:p w14:paraId="7A2430F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 标准和规范</w:t>
      </w:r>
    </w:p>
    <w:p w14:paraId="036549C2">
      <w:pPr>
        <w:pageBreakBefore w:val="0"/>
        <w:kinsoku/>
        <w:wordWrap/>
        <w:overflowPunct/>
        <w:topLinePunct w:val="0"/>
        <w:bidi w:val="0"/>
        <w:snapToGrid/>
        <w:spacing w:line="400" w:lineRule="exact"/>
        <w:ind w:firstLine="330" w:firstLineChars="1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1.4.1适用于工程的标准规范包括：</w:t>
      </w:r>
      <w:r>
        <w:rPr>
          <w:rFonts w:hint="eastAsia" w:ascii="宋体" w:hAnsi="宋体" w:eastAsia="宋体" w:cs="宋体"/>
          <w:color w:val="000000" w:themeColor="text1"/>
          <w:sz w:val="22"/>
          <w:szCs w:val="22"/>
          <w:highlight w:val="none"/>
          <w:u w:val="single"/>
          <w14:textFill>
            <w14:solidFill>
              <w14:schemeClr w14:val="tx1"/>
            </w14:solidFill>
          </w14:textFill>
        </w:rPr>
        <w:t>国家标准、行业标准、工程所在地的地方标准以及相应的规范、规程等</w:t>
      </w:r>
      <w:r>
        <w:rPr>
          <w:rFonts w:hint="eastAsia" w:ascii="宋体" w:hAnsi="宋体" w:eastAsia="宋体" w:cs="宋体"/>
          <w:color w:val="000000" w:themeColor="text1"/>
          <w:sz w:val="22"/>
          <w:szCs w:val="22"/>
          <w:highlight w:val="none"/>
          <w14:textFill>
            <w14:solidFill>
              <w14:schemeClr w14:val="tx1"/>
            </w14:solidFill>
          </w14:textFill>
        </w:rPr>
        <w:t>。</w:t>
      </w:r>
    </w:p>
    <w:p w14:paraId="17CC39A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1.4.2 发包人提供国外标准、规范的名称：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E24399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发包人提供国外标准、规范的份数：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95D70B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发包人提供国外标准、规范的名称：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E0063F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1.4.3发包人对工程的技术标准和功能要求的特殊要求：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详见施工图纸  </w:t>
      </w:r>
      <w:r>
        <w:rPr>
          <w:rFonts w:hint="eastAsia" w:ascii="宋体" w:hAnsi="宋体" w:eastAsia="宋体" w:cs="宋体"/>
          <w:color w:val="000000" w:themeColor="text1"/>
          <w:sz w:val="22"/>
          <w:szCs w:val="22"/>
          <w:highlight w:val="none"/>
          <w14:textFill>
            <w14:solidFill>
              <w14:schemeClr w14:val="tx1"/>
            </w14:solidFill>
          </w14:textFill>
        </w:rPr>
        <w:t>。</w:t>
      </w:r>
    </w:p>
    <w:p w14:paraId="5A7D25F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 合同文件的优先顺序</w:t>
      </w:r>
    </w:p>
    <w:p w14:paraId="2D42B84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合同文件组成及优先顺序为：</w:t>
      </w:r>
    </w:p>
    <w:p w14:paraId="310BD96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①本合同协议书；②中标通知书；③招标文件、投标文件（含已标价工程量清单）及其附件；④本合同专用条款；⑤本合同通用条款；⑥标准、规范及有关技术文件；⑦图纸；⑧工程量清单；⑨发包人委托编制的预算书；⑩双方有关工程的洽商、变更等书面协议或文件等。上述各项合同文件包括合同当事人就该项合同文件所作出的补充和修改，属于同一类内容的文件，应以最新签署的为准。</w:t>
      </w:r>
    </w:p>
    <w:p w14:paraId="23CF459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 图纸和承包人文件</w:t>
      </w:r>
      <w:r>
        <w:rPr>
          <w:rFonts w:hint="eastAsia" w:ascii="宋体" w:hAnsi="宋体" w:eastAsia="宋体" w:cs="宋体"/>
          <w:color w:val="000000" w:themeColor="text1"/>
          <w:sz w:val="22"/>
          <w:szCs w:val="22"/>
          <w:highlight w:val="none"/>
          <w14:textFill>
            <w14:solidFill>
              <w14:schemeClr w14:val="tx1"/>
            </w14:solidFill>
          </w14:textFill>
        </w:rPr>
        <w:tab/>
      </w:r>
    </w:p>
    <w:p w14:paraId="4DFD7FE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 图纸的提供</w:t>
      </w:r>
    </w:p>
    <w:p w14:paraId="32E900C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发包人向承包人提供图纸的期限：</w:t>
      </w:r>
      <w:r>
        <w:rPr>
          <w:rFonts w:hint="eastAsia" w:ascii="宋体" w:hAnsi="宋体" w:eastAsia="宋体" w:cs="宋体"/>
          <w:color w:val="000000" w:themeColor="text1"/>
          <w:sz w:val="22"/>
          <w:szCs w:val="22"/>
          <w:highlight w:val="none"/>
          <w:u w:val="single"/>
          <w14:textFill>
            <w14:solidFill>
              <w14:schemeClr w14:val="tx1"/>
            </w14:solidFill>
          </w14:textFill>
        </w:rPr>
        <w:t>签订施工合同后 3 天内</w:t>
      </w:r>
      <w:r>
        <w:rPr>
          <w:rFonts w:hint="eastAsia" w:ascii="宋体" w:hAnsi="宋体" w:eastAsia="宋体" w:cs="宋体"/>
          <w:color w:val="000000" w:themeColor="text1"/>
          <w:sz w:val="22"/>
          <w:szCs w:val="22"/>
          <w:highlight w:val="none"/>
          <w14:textFill>
            <w14:solidFill>
              <w14:schemeClr w14:val="tx1"/>
            </w14:solidFill>
          </w14:textFill>
        </w:rPr>
        <w:t>；</w:t>
      </w:r>
    </w:p>
    <w:p w14:paraId="0327B26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发包人向承包人提供图纸的数量：</w:t>
      </w:r>
      <w:r>
        <w:rPr>
          <w:rFonts w:hint="eastAsia" w:ascii="宋体" w:hAnsi="宋体" w:eastAsia="宋体" w:cs="宋体"/>
          <w:color w:val="000000" w:themeColor="text1"/>
          <w:sz w:val="22"/>
          <w:szCs w:val="22"/>
          <w:highlight w:val="none"/>
          <w:u w:val="single"/>
          <w14:textFill>
            <w14:solidFill>
              <w14:schemeClr w14:val="tx1"/>
            </w14:solidFill>
          </w14:textFill>
        </w:rPr>
        <w:t xml:space="preserve">发包人向承包人提供 3 套完整的施工图纸，未经发包人同意不得复制。不得向承包人以外的人员泄露图纸的有关内容 </w:t>
      </w:r>
      <w:r>
        <w:rPr>
          <w:rFonts w:hint="eastAsia" w:ascii="宋体" w:hAnsi="宋体" w:eastAsia="宋体" w:cs="宋体"/>
          <w:color w:val="000000" w:themeColor="text1"/>
          <w:sz w:val="22"/>
          <w:szCs w:val="22"/>
          <w:highlight w:val="none"/>
          <w14:textFill>
            <w14:solidFill>
              <w14:schemeClr w14:val="tx1"/>
            </w14:solidFill>
          </w14:textFill>
        </w:rPr>
        <w:t>；</w:t>
      </w:r>
    </w:p>
    <w:p w14:paraId="4673DC7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发包人向承包人提供图纸的内容：</w:t>
      </w:r>
      <w:r>
        <w:rPr>
          <w:rFonts w:hint="eastAsia" w:ascii="宋体" w:hAnsi="宋体" w:eastAsia="宋体" w:cs="宋体"/>
          <w:color w:val="000000" w:themeColor="text1"/>
          <w:sz w:val="22"/>
          <w:szCs w:val="22"/>
          <w:highlight w:val="none"/>
          <w:u w:val="single"/>
          <w14:textFill>
            <w14:solidFill>
              <w14:schemeClr w14:val="tx1"/>
            </w14:solidFill>
          </w14:textFill>
        </w:rPr>
        <w:t>全套经审查的施工图</w:t>
      </w:r>
      <w:r>
        <w:rPr>
          <w:rFonts w:hint="eastAsia" w:ascii="宋体" w:hAnsi="宋体" w:eastAsia="宋体" w:cs="宋体"/>
          <w:color w:val="000000" w:themeColor="text1"/>
          <w:sz w:val="22"/>
          <w:szCs w:val="22"/>
          <w:highlight w:val="none"/>
          <w14:textFill>
            <w14:solidFill>
              <w14:schemeClr w14:val="tx1"/>
            </w14:solidFill>
          </w14:textFill>
        </w:rPr>
        <w:t>。</w:t>
      </w:r>
    </w:p>
    <w:p w14:paraId="6758BEF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1.6.4 承包人文件</w:t>
      </w:r>
    </w:p>
    <w:p w14:paraId="663AC1C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需要由承包人提供的文件，包括：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施工组织设计等，以及发包人、监理要求提供的其他资料 </w:t>
      </w:r>
      <w:r>
        <w:rPr>
          <w:rFonts w:hint="eastAsia" w:ascii="宋体" w:hAnsi="宋体" w:eastAsia="宋体" w:cs="宋体"/>
          <w:color w:val="000000" w:themeColor="text1"/>
          <w:sz w:val="22"/>
          <w:szCs w:val="22"/>
          <w:highlight w:val="none"/>
          <w14:textFill>
            <w14:solidFill>
              <w14:schemeClr w14:val="tx1"/>
            </w14:solidFill>
          </w14:textFill>
        </w:rPr>
        <w:t>；</w:t>
      </w:r>
    </w:p>
    <w:p w14:paraId="568F7D4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承包人提供的文件的期限为：</w:t>
      </w:r>
      <w:r>
        <w:rPr>
          <w:rFonts w:hint="eastAsia" w:ascii="宋体" w:hAnsi="宋体" w:eastAsia="宋体" w:cs="宋体"/>
          <w:color w:val="000000" w:themeColor="text1"/>
          <w:sz w:val="22"/>
          <w:szCs w:val="22"/>
          <w:highlight w:val="none"/>
          <w:u w:val="single"/>
          <w14:textFill>
            <w14:solidFill>
              <w14:schemeClr w14:val="tx1"/>
            </w14:solidFill>
          </w14:textFill>
        </w:rPr>
        <w:t>根据发包人要求</w:t>
      </w:r>
      <w:r>
        <w:rPr>
          <w:rFonts w:hint="eastAsia" w:ascii="宋体" w:hAnsi="宋体" w:eastAsia="宋体" w:cs="宋体"/>
          <w:color w:val="000000" w:themeColor="text1"/>
          <w:sz w:val="22"/>
          <w:szCs w:val="22"/>
          <w:highlight w:val="none"/>
          <w14:textFill>
            <w14:solidFill>
              <w14:schemeClr w14:val="tx1"/>
            </w14:solidFill>
          </w14:textFill>
        </w:rPr>
        <w:t>；</w:t>
      </w:r>
    </w:p>
    <w:p w14:paraId="4F28396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承包人提供的文件的数量为：</w:t>
      </w:r>
      <w:r>
        <w:rPr>
          <w:rFonts w:hint="eastAsia" w:ascii="宋体" w:hAnsi="宋体" w:eastAsia="宋体" w:cs="宋体"/>
          <w:color w:val="000000" w:themeColor="text1"/>
          <w:sz w:val="22"/>
          <w:szCs w:val="22"/>
          <w:highlight w:val="none"/>
          <w:u w:val="single"/>
          <w14:textFill>
            <w14:solidFill>
              <w14:schemeClr w14:val="tx1"/>
            </w14:solidFill>
          </w14:textFill>
        </w:rPr>
        <w:t>根据发包人要求</w:t>
      </w:r>
      <w:r>
        <w:rPr>
          <w:rFonts w:hint="eastAsia" w:ascii="宋体" w:hAnsi="宋体" w:eastAsia="宋体" w:cs="宋体"/>
          <w:color w:val="000000" w:themeColor="text1"/>
          <w:sz w:val="22"/>
          <w:szCs w:val="22"/>
          <w:highlight w:val="none"/>
          <w14:textFill>
            <w14:solidFill>
              <w14:schemeClr w14:val="tx1"/>
            </w14:solidFill>
          </w14:textFill>
        </w:rPr>
        <w:t>；</w:t>
      </w:r>
    </w:p>
    <w:p w14:paraId="79E4DEE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承包人提供的文件的形式为：</w:t>
      </w:r>
      <w:r>
        <w:rPr>
          <w:rFonts w:hint="eastAsia" w:ascii="宋体" w:hAnsi="宋体" w:eastAsia="宋体" w:cs="宋体"/>
          <w:color w:val="000000" w:themeColor="text1"/>
          <w:sz w:val="22"/>
          <w:szCs w:val="22"/>
          <w:highlight w:val="none"/>
          <w:u w:val="single"/>
          <w14:textFill>
            <w14:solidFill>
              <w14:schemeClr w14:val="tx1"/>
            </w14:solidFill>
          </w14:textFill>
        </w:rPr>
        <w:t>书面及电子版</w:t>
      </w:r>
      <w:r>
        <w:rPr>
          <w:rFonts w:hint="eastAsia" w:ascii="宋体" w:hAnsi="宋体" w:eastAsia="宋体" w:cs="宋体"/>
          <w:color w:val="000000" w:themeColor="text1"/>
          <w:sz w:val="22"/>
          <w:szCs w:val="22"/>
          <w:highlight w:val="none"/>
          <w14:textFill>
            <w14:solidFill>
              <w14:schemeClr w14:val="tx1"/>
            </w14:solidFill>
          </w14:textFill>
        </w:rPr>
        <w:t>；</w:t>
      </w:r>
    </w:p>
    <w:p w14:paraId="600BCFF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发包人审批承包人文件的期限：</w:t>
      </w:r>
      <w:r>
        <w:rPr>
          <w:rFonts w:hint="eastAsia" w:ascii="宋体" w:hAnsi="宋体" w:eastAsia="宋体" w:cs="宋体"/>
          <w:color w:val="000000" w:themeColor="text1"/>
          <w:sz w:val="22"/>
          <w:szCs w:val="22"/>
          <w:highlight w:val="none"/>
          <w:u w:val="single"/>
          <w14:textFill>
            <w14:solidFill>
              <w14:schemeClr w14:val="tx1"/>
            </w14:solidFill>
          </w14:textFill>
        </w:rPr>
        <w:t>3天</w:t>
      </w:r>
      <w:r>
        <w:rPr>
          <w:rFonts w:hint="eastAsia" w:ascii="宋体" w:hAnsi="宋体" w:eastAsia="宋体" w:cs="宋体"/>
          <w:color w:val="000000" w:themeColor="text1"/>
          <w:sz w:val="22"/>
          <w:szCs w:val="22"/>
          <w:highlight w:val="none"/>
          <w14:textFill>
            <w14:solidFill>
              <w14:schemeClr w14:val="tx1"/>
            </w14:solidFill>
          </w14:textFill>
        </w:rPr>
        <w:t>。</w:t>
      </w:r>
    </w:p>
    <w:p w14:paraId="1378FE0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1.6.5 现场图纸准备</w:t>
      </w:r>
    </w:p>
    <w:p w14:paraId="000F55D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关于现场图纸准备的约定：</w:t>
      </w:r>
      <w:r>
        <w:rPr>
          <w:rFonts w:hint="eastAsia" w:ascii="宋体" w:hAnsi="宋体" w:eastAsia="宋体" w:cs="宋体"/>
          <w:color w:val="000000" w:themeColor="text1"/>
          <w:sz w:val="22"/>
          <w:szCs w:val="22"/>
          <w:highlight w:val="none"/>
          <w:u w:val="single"/>
          <w14:textFill>
            <w14:solidFill>
              <w14:schemeClr w14:val="tx1"/>
            </w14:solidFill>
          </w14:textFill>
        </w:rPr>
        <w:t>所有施工必须以发包人提供的图纸为准，发包人须向承包人提供经审查的有效图纸</w:t>
      </w:r>
      <w:r>
        <w:rPr>
          <w:rFonts w:hint="eastAsia" w:ascii="宋体" w:hAnsi="宋体" w:eastAsia="宋体" w:cs="宋体"/>
          <w:color w:val="000000" w:themeColor="text1"/>
          <w:sz w:val="22"/>
          <w:szCs w:val="22"/>
          <w:highlight w:val="none"/>
          <w14:textFill>
            <w14:solidFill>
              <w14:schemeClr w14:val="tx1"/>
            </w14:solidFill>
          </w14:textFill>
        </w:rPr>
        <w:t>。</w:t>
      </w:r>
    </w:p>
    <w:p w14:paraId="7A9BB96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 联络</w:t>
      </w:r>
    </w:p>
    <w:p w14:paraId="73C9741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1.7.1发包人和承包人应当在</w:t>
      </w:r>
      <w:r>
        <w:rPr>
          <w:rFonts w:hint="eastAsia" w:ascii="宋体" w:hAnsi="宋体" w:eastAsia="宋体" w:cs="宋体"/>
          <w:color w:val="000000" w:themeColor="text1"/>
          <w:sz w:val="22"/>
          <w:szCs w:val="22"/>
          <w:highlight w:val="none"/>
          <w:u w:val="single"/>
          <w14:textFill>
            <w14:solidFill>
              <w14:schemeClr w14:val="tx1"/>
            </w14:solidFill>
          </w14:textFill>
        </w:rPr>
        <w:t xml:space="preserve"> 1 </w:t>
      </w:r>
      <w:r>
        <w:rPr>
          <w:rFonts w:hint="eastAsia" w:ascii="宋体" w:hAnsi="宋体" w:eastAsia="宋体" w:cs="宋体"/>
          <w:color w:val="000000" w:themeColor="text1"/>
          <w:sz w:val="22"/>
          <w:szCs w:val="22"/>
          <w:highlight w:val="none"/>
          <w14:textFill>
            <w14:solidFill>
              <w14:schemeClr w14:val="tx1"/>
            </w14:solidFill>
          </w14:textFill>
        </w:rPr>
        <w:t>天内将与合同有关的通知、批准、证明、证书、指示、指令、要求、请求、同意、意见、确定和决定等书面函件送达对方当事人。</w:t>
      </w:r>
    </w:p>
    <w:p w14:paraId="698B9CD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1.7.2 发包人接收文件的地点：</w:t>
      </w:r>
      <w:r>
        <w:rPr>
          <w:rFonts w:hint="eastAsia" w:ascii="宋体" w:hAnsi="宋体" w:eastAsia="宋体" w:cs="宋体"/>
          <w:color w:val="000000" w:themeColor="text1"/>
          <w:sz w:val="22"/>
          <w:szCs w:val="22"/>
          <w:highlight w:val="none"/>
          <w:u w:val="single"/>
          <w14:textFill>
            <w14:solidFill>
              <w14:schemeClr w14:val="tx1"/>
            </w14:solidFill>
          </w14:textFill>
        </w:rPr>
        <w:t>施工现场</w:t>
      </w:r>
      <w:r>
        <w:rPr>
          <w:rFonts w:hint="eastAsia" w:ascii="宋体" w:hAnsi="宋体" w:eastAsia="宋体" w:cs="宋体"/>
          <w:color w:val="000000" w:themeColor="text1"/>
          <w:sz w:val="22"/>
          <w:szCs w:val="22"/>
          <w:highlight w:val="none"/>
          <w14:textFill>
            <w14:solidFill>
              <w14:schemeClr w14:val="tx1"/>
            </w14:solidFill>
          </w14:textFill>
        </w:rPr>
        <w:t>；</w:t>
      </w:r>
    </w:p>
    <w:p w14:paraId="261CC9C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发包人指定的接收人为：</w:t>
      </w:r>
      <w:r>
        <w:rPr>
          <w:rFonts w:hint="eastAsia" w:ascii="宋体" w:hAnsi="宋体" w:eastAsia="宋体" w:cs="宋体"/>
          <w:color w:val="000000" w:themeColor="text1"/>
          <w:sz w:val="22"/>
          <w:szCs w:val="22"/>
          <w:highlight w:val="none"/>
          <w:u w:val="single"/>
          <w14:textFill>
            <w14:solidFill>
              <w14:schemeClr w14:val="tx1"/>
            </w14:solidFill>
          </w14:textFill>
        </w:rPr>
        <w:t> 现场代表 </w:t>
      </w:r>
      <w:r>
        <w:rPr>
          <w:rFonts w:hint="eastAsia" w:ascii="宋体" w:hAnsi="宋体" w:eastAsia="宋体" w:cs="宋体"/>
          <w:color w:val="000000" w:themeColor="text1"/>
          <w:sz w:val="22"/>
          <w:szCs w:val="22"/>
          <w:highlight w:val="none"/>
          <w14:textFill>
            <w14:solidFill>
              <w14:schemeClr w14:val="tx1"/>
            </w14:solidFill>
          </w14:textFill>
        </w:rPr>
        <w:t>。</w:t>
      </w:r>
    </w:p>
    <w:p w14:paraId="0FBD4E7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承包人接收文件的地点：</w:t>
      </w:r>
      <w:r>
        <w:rPr>
          <w:rFonts w:hint="eastAsia" w:ascii="宋体" w:hAnsi="宋体" w:eastAsia="宋体" w:cs="宋体"/>
          <w:color w:val="000000" w:themeColor="text1"/>
          <w:sz w:val="22"/>
          <w:szCs w:val="22"/>
          <w:highlight w:val="none"/>
          <w:u w:val="single"/>
          <w14:textFill>
            <w14:solidFill>
              <w14:schemeClr w14:val="tx1"/>
            </w14:solidFill>
          </w14:textFill>
        </w:rPr>
        <w:t>施工现场</w:t>
      </w:r>
      <w:r>
        <w:rPr>
          <w:rFonts w:hint="eastAsia" w:ascii="宋体" w:hAnsi="宋体" w:eastAsia="宋体" w:cs="宋体"/>
          <w:color w:val="000000" w:themeColor="text1"/>
          <w:sz w:val="22"/>
          <w:szCs w:val="22"/>
          <w:highlight w:val="none"/>
          <w14:textFill>
            <w14:solidFill>
              <w14:schemeClr w14:val="tx1"/>
            </w14:solidFill>
          </w14:textFill>
        </w:rPr>
        <w:t>；</w:t>
      </w:r>
    </w:p>
    <w:p w14:paraId="55F0D84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承包人指定的接收人为：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项目负责人    </w:t>
      </w:r>
      <w:r>
        <w:rPr>
          <w:rFonts w:hint="eastAsia" w:ascii="宋体" w:hAnsi="宋体" w:eastAsia="宋体" w:cs="宋体"/>
          <w:color w:val="000000" w:themeColor="text1"/>
          <w:sz w:val="22"/>
          <w:szCs w:val="22"/>
          <w:highlight w:val="none"/>
          <w14:textFill>
            <w14:solidFill>
              <w14:schemeClr w14:val="tx1"/>
            </w14:solidFill>
          </w14:textFill>
        </w:rPr>
        <w:t>。</w:t>
      </w:r>
    </w:p>
    <w:p w14:paraId="7782618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监理人接收文件的地点：</w:t>
      </w:r>
      <w:r>
        <w:rPr>
          <w:rFonts w:hint="eastAsia" w:ascii="宋体" w:hAnsi="宋体" w:eastAsia="宋体" w:cs="宋体"/>
          <w:color w:val="000000" w:themeColor="text1"/>
          <w:sz w:val="22"/>
          <w:szCs w:val="22"/>
          <w:highlight w:val="none"/>
          <w:u w:val="single"/>
          <w14:textFill>
            <w14:solidFill>
              <w14:schemeClr w14:val="tx1"/>
            </w14:solidFill>
          </w14:textFill>
        </w:rPr>
        <w:t xml:space="preserve">施工现场    </w:t>
      </w:r>
      <w:r>
        <w:rPr>
          <w:rFonts w:hint="eastAsia" w:ascii="宋体" w:hAnsi="宋体" w:eastAsia="宋体" w:cs="宋体"/>
          <w:color w:val="000000" w:themeColor="text1"/>
          <w:sz w:val="22"/>
          <w:szCs w:val="22"/>
          <w:highlight w:val="none"/>
          <w14:textFill>
            <w14:solidFill>
              <w14:schemeClr w14:val="tx1"/>
            </w14:solidFill>
          </w14:textFill>
        </w:rPr>
        <w:t>；</w:t>
      </w:r>
    </w:p>
    <w:p w14:paraId="4FD2F6D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监理人指定的接收人为：</w:t>
      </w:r>
      <w:r>
        <w:rPr>
          <w:rFonts w:hint="eastAsia" w:ascii="宋体" w:hAnsi="宋体" w:eastAsia="宋体" w:cs="宋体"/>
          <w:color w:val="000000" w:themeColor="text1"/>
          <w:sz w:val="22"/>
          <w:szCs w:val="22"/>
          <w:highlight w:val="none"/>
          <w:u w:val="single"/>
          <w14:textFill>
            <w14:solidFill>
              <w14:schemeClr w14:val="tx1"/>
            </w14:solidFill>
          </w14:textFill>
        </w:rPr>
        <w:t>总监理工程师</w:t>
      </w:r>
      <w:r>
        <w:rPr>
          <w:rFonts w:hint="eastAsia" w:ascii="宋体" w:hAnsi="宋体" w:eastAsia="宋体" w:cs="宋体"/>
          <w:color w:val="000000" w:themeColor="text1"/>
          <w:sz w:val="22"/>
          <w:szCs w:val="22"/>
          <w:highlight w:val="none"/>
          <w14:textFill>
            <w14:solidFill>
              <w14:schemeClr w14:val="tx1"/>
            </w14:solidFill>
          </w14:textFill>
        </w:rPr>
        <w:t>。</w:t>
      </w:r>
    </w:p>
    <w:p w14:paraId="0C99EAB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1.10 交通运输</w:t>
      </w:r>
    </w:p>
    <w:p w14:paraId="4623FA6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4" w:name="_Toc303539100"/>
      <w:bookmarkStart w:id="35" w:name="_Toc318581155"/>
      <w:bookmarkStart w:id="36" w:name="_Toc300934943"/>
      <w:bookmarkStart w:id="37" w:name="_Toc304295521"/>
      <w:bookmarkStart w:id="38" w:name="_Toc312677986"/>
      <w:r>
        <w:rPr>
          <w:rFonts w:hint="eastAsia" w:ascii="宋体" w:hAnsi="宋体" w:eastAsia="宋体" w:cs="宋体"/>
          <w:color w:val="000000" w:themeColor="text1"/>
          <w:sz w:val="22"/>
          <w:szCs w:val="22"/>
          <w:highlight w:val="none"/>
          <w14:textFill>
            <w14:solidFill>
              <w14:schemeClr w14:val="tx1"/>
            </w14:solidFill>
          </w14:textFill>
        </w:rPr>
        <w:t>.10.1 出入现场的权利</w:t>
      </w:r>
    </w:p>
    <w:p w14:paraId="7B13522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关于出入现场的权利的约定：</w:t>
      </w:r>
      <w:r>
        <w:rPr>
          <w:rFonts w:hint="eastAsia" w:ascii="宋体" w:hAnsi="宋体" w:eastAsia="宋体" w:cs="宋体"/>
          <w:color w:val="000000" w:themeColor="text1"/>
          <w:sz w:val="22"/>
          <w:szCs w:val="22"/>
          <w:highlight w:val="none"/>
          <w:u w:val="single"/>
          <w14:textFill>
            <w14:solidFill>
              <w14:schemeClr w14:val="tx1"/>
            </w14:solidFill>
          </w14:textFill>
        </w:rPr>
        <w:t>根据施工需要，承包人负责取得出入施工现场所需的批准手续和全部权利，以及取得因施工所需修建道路、桥梁以及其他基础设施的权利，并承担相关手续费用和建设费用。承包人应遵守有关交通法规，严格按照道路和桥梁的限制荷载行驶，执行有关道路限速、限行、禁止超载的规定，并配合交通管理部门的监督和检查。场内、外交通设施无法满足工程施工需要的，由承包人负责完善并承担相关费用。因承包人原因造成上述道路或交通设施损坏的，承包人负责修复并承担由此增加的费用。其他按通用条款执行</w:t>
      </w:r>
      <w:r>
        <w:rPr>
          <w:rFonts w:hint="eastAsia" w:ascii="宋体" w:hAnsi="宋体" w:eastAsia="宋体" w:cs="宋体"/>
          <w:color w:val="000000" w:themeColor="text1"/>
          <w:sz w:val="22"/>
          <w:szCs w:val="22"/>
          <w:highlight w:val="none"/>
          <w14:textFill>
            <w14:solidFill>
              <w14:schemeClr w14:val="tx1"/>
            </w14:solidFill>
          </w14:textFill>
        </w:rPr>
        <w:t>。</w:t>
      </w:r>
    </w:p>
    <w:bookmarkEnd w:id="34"/>
    <w:bookmarkEnd w:id="35"/>
    <w:bookmarkEnd w:id="36"/>
    <w:bookmarkEnd w:id="37"/>
    <w:bookmarkEnd w:id="38"/>
    <w:p w14:paraId="1257FC3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9" w:name="_Toc318581156"/>
      <w:bookmarkStart w:id="40" w:name="_Toc312677987"/>
      <w:bookmarkStart w:id="41" w:name="_Toc303539101"/>
      <w:bookmarkStart w:id="42" w:name="_Toc304295522"/>
      <w:bookmarkStart w:id="43" w:name="_Toc300934944"/>
      <w:r>
        <w:rPr>
          <w:rFonts w:hint="eastAsia" w:ascii="宋体" w:hAnsi="宋体" w:eastAsia="宋体" w:cs="宋体"/>
          <w:color w:val="000000" w:themeColor="text1"/>
          <w:sz w:val="22"/>
          <w:szCs w:val="22"/>
          <w:highlight w:val="none"/>
          <w14:textFill>
            <w14:solidFill>
              <w14:schemeClr w14:val="tx1"/>
            </w14:solidFill>
          </w14:textFill>
        </w:rPr>
        <w:t>.10.3 场内交通</w:t>
      </w:r>
    </w:p>
    <w:p w14:paraId="35BA638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关于场外交通和场内交通的边界的约定：</w:t>
      </w:r>
      <w:r>
        <w:rPr>
          <w:rFonts w:hint="eastAsia" w:ascii="宋体" w:hAnsi="宋体" w:eastAsia="宋体" w:cs="宋体"/>
          <w:color w:val="000000" w:themeColor="text1"/>
          <w:sz w:val="22"/>
          <w:szCs w:val="22"/>
          <w:highlight w:val="none"/>
          <w:u w:val="single"/>
          <w14:textFill>
            <w14:solidFill>
              <w14:schemeClr w14:val="tx1"/>
            </w14:solidFill>
          </w14:textFill>
        </w:rPr>
        <w:t>场内、外交通均由承包人自行负责解决并承担费用,承包人应遵守有关交通法规，严格按照道路和桥梁的限制荷载行驶，执行有关道路限速、限行、禁止超载的规定，并配合交通管理部门的监督和检查。场内交通无法满足工程施工需要时,由承包人负责完善并承担相关费用。承包人负责修建、维修、养护和管理施工所需的其他场内临时道路和交通设施。发包人和监理人为实现合同目的，可无偿使用承包人修建的场内临时道路和交通设施。 因承包人原因造成上述道路或交通设施损坏的，承包人应负责修复并承担由此增加的费用。承包人必须符合施工现场之外的公路交通安全相关规定</w:t>
      </w:r>
      <w:r>
        <w:rPr>
          <w:rFonts w:hint="eastAsia" w:ascii="宋体" w:hAnsi="宋体" w:eastAsia="宋体" w:cs="宋体"/>
          <w:color w:val="000000" w:themeColor="text1"/>
          <w:sz w:val="22"/>
          <w:szCs w:val="22"/>
          <w:highlight w:val="none"/>
          <w14:textFill>
            <w14:solidFill>
              <w14:schemeClr w14:val="tx1"/>
            </w14:solidFill>
          </w14:textFill>
        </w:rPr>
        <w:t>。</w:t>
      </w:r>
    </w:p>
    <w:p w14:paraId="15C5D96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关于发包人向承包人免费提供满足工程施工需要的场内道路和交通设施的约定：</w:t>
      </w:r>
      <w:r>
        <w:rPr>
          <w:rFonts w:hint="eastAsia" w:ascii="宋体" w:hAnsi="宋体" w:eastAsia="宋体" w:cs="宋体"/>
          <w:color w:val="000000" w:themeColor="text1"/>
          <w:sz w:val="22"/>
          <w:szCs w:val="22"/>
          <w:highlight w:val="none"/>
          <w:u w:val="single"/>
          <w14:textFill>
            <w14:solidFill>
              <w14:schemeClr w14:val="tx1"/>
            </w14:solidFill>
          </w14:textFill>
        </w:rPr>
        <w:t>由承包人自行实施，其费用包含在签约合同价中</w:t>
      </w:r>
      <w:r>
        <w:rPr>
          <w:rFonts w:hint="eastAsia" w:ascii="宋体" w:hAnsi="宋体" w:eastAsia="宋体" w:cs="宋体"/>
          <w:color w:val="000000" w:themeColor="text1"/>
          <w:sz w:val="22"/>
          <w:szCs w:val="22"/>
          <w:highlight w:val="none"/>
          <w14:textFill>
            <w14:solidFill>
              <w14:schemeClr w14:val="tx1"/>
            </w14:solidFill>
          </w14:textFill>
        </w:rPr>
        <w:t>。</w:t>
      </w:r>
      <w:bookmarkEnd w:id="39"/>
      <w:bookmarkEnd w:id="40"/>
      <w:bookmarkEnd w:id="41"/>
      <w:bookmarkEnd w:id="42"/>
      <w:bookmarkEnd w:id="43"/>
      <w:bookmarkStart w:id="44" w:name="_Toc318581157"/>
    </w:p>
    <w:p w14:paraId="00040E0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1.10.4超大件和超重件的运输</w:t>
      </w:r>
    </w:p>
    <w:p w14:paraId="2E361D3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运输超大件或超重件所需的道路和桥梁临时加固改造费用和其他有关费用由</w:t>
      </w:r>
      <w:r>
        <w:rPr>
          <w:rFonts w:hint="eastAsia" w:ascii="宋体" w:hAnsi="宋体" w:eastAsia="宋体" w:cs="宋体"/>
          <w:color w:val="000000" w:themeColor="text1"/>
          <w:sz w:val="22"/>
          <w:szCs w:val="22"/>
          <w:highlight w:val="none"/>
          <w:u w:val="single"/>
          <w14:textFill>
            <w14:solidFill>
              <w14:schemeClr w14:val="tx1"/>
            </w14:solidFill>
          </w14:textFill>
        </w:rPr>
        <w:t>承包人</w:t>
      </w:r>
      <w:r>
        <w:rPr>
          <w:rFonts w:hint="eastAsia" w:ascii="宋体" w:hAnsi="宋体" w:eastAsia="宋体" w:cs="宋体"/>
          <w:color w:val="000000" w:themeColor="text1"/>
          <w:sz w:val="22"/>
          <w:szCs w:val="22"/>
          <w:highlight w:val="none"/>
          <w14:textFill>
            <w14:solidFill>
              <w14:schemeClr w14:val="tx1"/>
            </w14:solidFill>
          </w14:textFill>
        </w:rPr>
        <w:t>承担。</w:t>
      </w:r>
    </w:p>
    <w:bookmarkEnd w:id="44"/>
    <w:p w14:paraId="3635053E">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 知识产权</w:t>
      </w:r>
    </w:p>
    <w:p w14:paraId="5866088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themeColor="text1"/>
          <w:sz w:val="22"/>
          <w:szCs w:val="22"/>
          <w:highlight w:val="none"/>
          <w:u w:val="single"/>
          <w14:textFill>
            <w14:solidFill>
              <w14:schemeClr w14:val="tx1"/>
            </w14:solidFill>
          </w14:textFill>
        </w:rPr>
        <w:t xml:space="preserve">发包人 </w:t>
      </w:r>
      <w:r>
        <w:rPr>
          <w:rFonts w:hint="eastAsia" w:ascii="宋体" w:hAnsi="宋体" w:eastAsia="宋体" w:cs="宋体"/>
          <w:color w:val="000000" w:themeColor="text1"/>
          <w:sz w:val="22"/>
          <w:szCs w:val="22"/>
          <w:highlight w:val="none"/>
          <w14:textFill>
            <w14:solidFill>
              <w14:schemeClr w14:val="tx1"/>
            </w14:solidFill>
          </w14:textFill>
        </w:rPr>
        <w:t>。</w:t>
      </w:r>
    </w:p>
    <w:p w14:paraId="742AFF5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关于发包人提供的上述文件的使用限制的要求：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 </w:t>
      </w:r>
      <w:r>
        <w:rPr>
          <w:rFonts w:hint="eastAsia" w:ascii="宋体" w:hAnsi="宋体" w:eastAsia="宋体" w:cs="宋体"/>
          <w:color w:val="000000" w:themeColor="text1"/>
          <w:sz w:val="22"/>
          <w:szCs w:val="22"/>
          <w:highlight w:val="none"/>
          <w14:textFill>
            <w14:solidFill>
              <w14:schemeClr w14:val="tx1"/>
            </w14:solidFill>
          </w14:textFill>
        </w:rPr>
        <w:t>。</w:t>
      </w:r>
    </w:p>
    <w:p w14:paraId="10C351C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1.11.2 关于承包人为实施工程所编制文件的著作权的归属:</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发包人</w:t>
      </w:r>
      <w:r>
        <w:rPr>
          <w:rFonts w:hint="eastAsia" w:ascii="宋体" w:hAnsi="宋体" w:eastAsia="宋体" w:cs="宋体"/>
          <w:color w:val="000000" w:themeColor="text1"/>
          <w:sz w:val="22"/>
          <w:szCs w:val="22"/>
          <w:highlight w:val="none"/>
          <w14:textFill>
            <w14:solidFill>
              <w14:schemeClr w14:val="tx1"/>
            </w14:solidFill>
          </w14:textFill>
        </w:rPr>
        <w:t>。</w:t>
      </w:r>
    </w:p>
    <w:p w14:paraId="3947A88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关于承包人提供的上述文件的使用限制的要求：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 </w:t>
      </w:r>
      <w:r>
        <w:rPr>
          <w:rFonts w:hint="eastAsia" w:ascii="宋体" w:hAnsi="宋体" w:eastAsia="宋体" w:cs="宋体"/>
          <w:color w:val="000000" w:themeColor="text1"/>
          <w:sz w:val="22"/>
          <w:szCs w:val="22"/>
          <w:highlight w:val="none"/>
          <w14:textFill>
            <w14:solidFill>
              <w14:schemeClr w14:val="tx1"/>
            </w14:solidFill>
          </w14:textFill>
        </w:rPr>
        <w:t>。</w:t>
      </w:r>
    </w:p>
    <w:p w14:paraId="2003D6A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1.11.4 承包人在施工过程中所采用的专利、专有技术、技术秘密的使用费的承担方式：</w:t>
      </w:r>
      <w:r>
        <w:rPr>
          <w:rFonts w:hint="eastAsia" w:ascii="宋体" w:hAnsi="宋体" w:eastAsia="宋体" w:cs="宋体"/>
          <w:color w:val="000000" w:themeColor="text1"/>
          <w:sz w:val="22"/>
          <w:szCs w:val="22"/>
          <w:highlight w:val="none"/>
          <w:u w:val="single"/>
          <w14:textFill>
            <w14:solidFill>
              <w14:schemeClr w14:val="tx1"/>
            </w14:solidFill>
          </w14:textFill>
        </w:rPr>
        <w:t>由承包人承担,费用含在合同价中</w:t>
      </w:r>
      <w:r>
        <w:rPr>
          <w:rFonts w:hint="eastAsia" w:ascii="宋体" w:hAnsi="宋体" w:eastAsia="宋体" w:cs="宋体"/>
          <w:color w:val="000000" w:themeColor="text1"/>
          <w:sz w:val="22"/>
          <w:szCs w:val="22"/>
          <w:highlight w:val="none"/>
          <w14:textFill>
            <w14:solidFill>
              <w14:schemeClr w14:val="tx1"/>
            </w14:solidFill>
          </w14:textFill>
        </w:rPr>
        <w:t>。</w:t>
      </w:r>
    </w:p>
    <w:p w14:paraId="2393D19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1.13工程量清单错误的修正</w:t>
      </w:r>
    </w:p>
    <w:p w14:paraId="693AC9D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出现工程量清单错误时，是否调整合同价格：</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无论招标时工程量清单中项目特征描述是否准确，发包人要求承包人的投标报价应为完成施工图纸该清单项的全部内容，若无相关设计变更，除本招标文件及施工合同中约定允许调整外中标的综合单价不予调整。工程量按实际完成的工程量结算，最终以发包人委托的有执业资格的工程造价咨询机构审核确认后的工程竣工结算价为准，其中，由承包人代交纳的相关规费等费用，在最终结算时凭缴费发票进入结算总价中或直接交予建设单位报销 </w:t>
      </w:r>
      <w:r>
        <w:rPr>
          <w:rFonts w:hint="eastAsia" w:ascii="宋体" w:hAnsi="宋体" w:eastAsia="宋体" w:cs="宋体"/>
          <w:color w:val="000000" w:themeColor="text1"/>
          <w:sz w:val="22"/>
          <w:szCs w:val="22"/>
          <w:highlight w:val="none"/>
          <w14:textFill>
            <w14:solidFill>
              <w14:schemeClr w14:val="tx1"/>
            </w14:solidFill>
          </w14:textFill>
        </w:rPr>
        <w:t>。</w:t>
      </w:r>
    </w:p>
    <w:p w14:paraId="6D7FB265">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允许调整合同价格的工程量偏差范围：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原工程量清单的误差、漏项、非承包人原因造成的工程变更（含设计变更）或其他不可预见的工程量 </w:t>
      </w:r>
      <w:r>
        <w:rPr>
          <w:rFonts w:hint="eastAsia" w:ascii="宋体" w:hAnsi="宋体" w:eastAsia="宋体" w:cs="宋体"/>
          <w:color w:val="000000" w:themeColor="text1"/>
          <w:sz w:val="22"/>
          <w:szCs w:val="22"/>
          <w:highlight w:val="none"/>
          <w14:textFill>
            <w14:solidFill>
              <w14:schemeClr w14:val="tx1"/>
            </w14:solidFill>
          </w14:textFill>
        </w:rPr>
        <w:t>。</w:t>
      </w:r>
    </w:p>
    <w:p w14:paraId="37DA61E7">
      <w:pPr>
        <w:pStyle w:val="6"/>
        <w:pageBreakBefore w:val="0"/>
        <w:kinsoku/>
        <w:wordWrap/>
        <w:overflowPunct/>
        <w:topLinePunct w:val="0"/>
        <w:bidi w:val="0"/>
        <w:snapToGrid/>
        <w:spacing w:before="0" w:after="0"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5" w:name="_Toc351203634"/>
      <w:r>
        <w:rPr>
          <w:rFonts w:hint="eastAsia" w:ascii="宋体" w:hAnsi="宋体" w:eastAsia="宋体" w:cs="宋体"/>
          <w:color w:val="000000" w:themeColor="text1"/>
          <w:sz w:val="22"/>
          <w:szCs w:val="22"/>
          <w:highlight w:val="none"/>
          <w14:textFill>
            <w14:solidFill>
              <w14:schemeClr w14:val="tx1"/>
            </w14:solidFill>
          </w14:textFill>
        </w:rPr>
        <w:t>2</w:t>
      </w:r>
      <w:bookmarkStart w:id="46" w:name="_Toc296346658"/>
      <w:bookmarkStart w:id="47" w:name="_Toc297120457"/>
      <w:bookmarkStart w:id="48" w:name="_Toc296347156"/>
      <w:bookmarkStart w:id="49" w:name="_Toc296944496"/>
      <w:bookmarkStart w:id="50" w:name="_Toc292559867"/>
      <w:bookmarkStart w:id="51" w:name="_Toc297048343"/>
      <w:bookmarkStart w:id="52" w:name="_Toc296503157"/>
      <w:bookmarkStart w:id="53" w:name="_Toc296891197"/>
      <w:bookmarkStart w:id="54" w:name="_Toc292559362"/>
      <w:bookmarkStart w:id="55" w:name="_Toc296890985"/>
      <w:r>
        <w:rPr>
          <w:rFonts w:hint="eastAsia" w:ascii="宋体" w:hAnsi="宋体" w:eastAsia="宋体" w:cs="宋体"/>
          <w:color w:val="000000" w:themeColor="text1"/>
          <w:sz w:val="22"/>
          <w:szCs w:val="22"/>
          <w:highlight w:val="none"/>
          <w14:textFill>
            <w14:solidFill>
              <w14:schemeClr w14:val="tx1"/>
            </w14:solidFill>
          </w14:textFill>
        </w:rPr>
        <w:t>. 发包人</w:t>
      </w:r>
      <w:bookmarkEnd w:id="45"/>
    </w:p>
    <w:bookmarkEnd w:id="46"/>
    <w:bookmarkEnd w:id="47"/>
    <w:bookmarkEnd w:id="48"/>
    <w:bookmarkEnd w:id="49"/>
    <w:bookmarkEnd w:id="50"/>
    <w:bookmarkEnd w:id="51"/>
    <w:bookmarkEnd w:id="52"/>
    <w:bookmarkEnd w:id="53"/>
    <w:bookmarkEnd w:id="54"/>
    <w:bookmarkEnd w:id="55"/>
    <w:p w14:paraId="6053CB5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2.2 发包人代表</w:t>
      </w:r>
    </w:p>
    <w:p w14:paraId="696BF7D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发包人代表：</w:t>
      </w:r>
    </w:p>
    <w:p w14:paraId="3B0DBE3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姓    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94392D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身份证号：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25F29A2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职    务：</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3374434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130B4F9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6CA7A7D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247BC2C1">
      <w:pPr>
        <w:pageBreakBefore w:val="0"/>
        <w:kinsoku/>
        <w:wordWrap/>
        <w:overflowPunct/>
        <w:topLinePunct w:val="0"/>
        <w:bidi w:val="0"/>
        <w:snapToGrid/>
        <w:spacing w:line="400" w:lineRule="exact"/>
        <w:ind w:firstLine="440" w:firstLineChars="200"/>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发包人对发包人代表的授权范围如下：</w:t>
      </w:r>
      <w:r>
        <w:rPr>
          <w:rFonts w:hint="eastAsia" w:ascii="宋体" w:hAnsi="宋体" w:eastAsia="宋体" w:cs="宋体"/>
          <w:color w:val="000000" w:themeColor="text1"/>
          <w:sz w:val="22"/>
          <w:szCs w:val="22"/>
          <w:highlight w:val="none"/>
          <w:u w:val="single"/>
          <w14:textFill>
            <w14:solidFill>
              <w14:schemeClr w14:val="tx1"/>
            </w14:solidFill>
          </w14:textFill>
        </w:rPr>
        <w:t xml:space="preserve">代表发包人负责整体工程协调管理、批准所有签证及变更方案实施 </w:t>
      </w:r>
      <w:r>
        <w:rPr>
          <w:rFonts w:hint="eastAsia" w:ascii="宋体" w:hAnsi="宋体" w:eastAsia="宋体" w:cs="宋体"/>
          <w:color w:val="000000" w:themeColor="text1"/>
          <w:sz w:val="22"/>
          <w:szCs w:val="22"/>
          <w:highlight w:val="none"/>
          <w14:textFill>
            <w14:solidFill>
              <w14:schemeClr w14:val="tx1"/>
            </w14:solidFill>
          </w14:textFill>
        </w:rPr>
        <w:t>。</w:t>
      </w:r>
    </w:p>
    <w:p w14:paraId="104F79B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2.4 施工现场、施工条件和基础资料的提供</w:t>
      </w:r>
    </w:p>
    <w:p w14:paraId="5F11433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2.4.1 提供施工现场</w:t>
      </w:r>
    </w:p>
    <w:p w14:paraId="58124C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关于发包人移交施工现场的期限要求：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发包人按现状提供，其他由承包人负责，满足工程施工需要 </w:t>
      </w:r>
      <w:r>
        <w:rPr>
          <w:rFonts w:hint="eastAsia" w:ascii="宋体" w:hAnsi="宋体" w:eastAsia="宋体" w:cs="宋体"/>
          <w:color w:val="000000" w:themeColor="text1"/>
          <w:sz w:val="22"/>
          <w:szCs w:val="22"/>
          <w:highlight w:val="none"/>
          <w14:textFill>
            <w14:solidFill>
              <w14:schemeClr w14:val="tx1"/>
            </w14:solidFill>
          </w14:textFill>
        </w:rPr>
        <w:t>。</w:t>
      </w:r>
    </w:p>
    <w:p w14:paraId="3E0997A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2.4.2 提供施工条件</w:t>
      </w:r>
    </w:p>
    <w:p w14:paraId="31192F8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关于发包人应负责提供施工所需要的条件，包括：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施工用水、电由承包人自行处理，现场单独挂表计量，费用由承包人负责；施工场地与公共道路的通道开通，均由承包人自行处理，费用由承包人负责；开工前5天内协调处理施工场地周围地下管线和邻近筑物、构筑（含文物保护建筑）、古树名木的保护工作，费用由承包人负责。承包人主动向发包人了解地形情况，索取地质勘探资料，了解施工现场区域划分位置。充分了解工地位置、地形地貌情况（工地现场的地形对施工可能造成的影响）、道路、储存空间、装卸限制及任何其它足以影响承包价的情况。施工用水源、电源，由承包人自行解决，该费用由承包人在投标报价中考虑。任何因忽视或误解工地情况而导致的索赔或工期延长申请将不被批准 </w:t>
      </w:r>
      <w:r>
        <w:rPr>
          <w:rFonts w:hint="eastAsia" w:ascii="宋体" w:hAnsi="宋体" w:eastAsia="宋体" w:cs="宋体"/>
          <w:color w:val="000000" w:themeColor="text1"/>
          <w:sz w:val="22"/>
          <w:szCs w:val="22"/>
          <w:highlight w:val="none"/>
          <w14:textFill>
            <w14:solidFill>
              <w14:schemeClr w14:val="tx1"/>
            </w14:solidFill>
          </w14:textFill>
        </w:rPr>
        <w:t>。</w:t>
      </w:r>
    </w:p>
    <w:p w14:paraId="32AF514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2.5 资金来源证明及支付担保</w:t>
      </w:r>
    </w:p>
    <w:p w14:paraId="65FD6A6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发包人提供资金来源证明的期限要求：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已提供  </w:t>
      </w:r>
      <w:r>
        <w:rPr>
          <w:rFonts w:hint="eastAsia" w:ascii="宋体" w:hAnsi="宋体" w:eastAsia="宋体" w:cs="宋体"/>
          <w:color w:val="000000" w:themeColor="text1"/>
          <w:sz w:val="22"/>
          <w:szCs w:val="22"/>
          <w:highlight w:val="none"/>
          <w14:textFill>
            <w14:solidFill>
              <w14:schemeClr w14:val="tx1"/>
            </w14:solidFill>
          </w14:textFill>
        </w:rPr>
        <w:t>。</w:t>
      </w:r>
    </w:p>
    <w:p w14:paraId="1AC1C69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发包人是否提供支付担保：</w:t>
      </w:r>
      <w:r>
        <w:rPr>
          <w:rFonts w:hint="eastAsia" w:ascii="宋体" w:hAnsi="宋体" w:eastAsia="宋体" w:cs="宋体"/>
          <w:color w:val="000000" w:themeColor="text1"/>
          <w:sz w:val="22"/>
          <w:szCs w:val="22"/>
          <w:highlight w:val="none"/>
          <w:u w:val="single"/>
          <w14:textFill>
            <w14:solidFill>
              <w14:schemeClr w14:val="tx1"/>
            </w14:solidFill>
          </w14:textFill>
        </w:rPr>
        <w:t>发包人依法向施工单位提供工程款支付担保。</w:t>
      </w:r>
    </w:p>
    <w:p w14:paraId="7CFB91D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发包人提供支付担保的形式：</w:t>
      </w:r>
      <w:r>
        <w:rPr>
          <w:rFonts w:hint="eastAsia" w:ascii="宋体" w:hAnsi="宋体" w:eastAsia="宋体" w:cs="宋体"/>
          <w:color w:val="000000" w:themeColor="text1"/>
          <w:sz w:val="22"/>
          <w:szCs w:val="22"/>
          <w:highlight w:val="none"/>
          <w:u w:val="single"/>
          <w14:textFill>
            <w14:solidFill>
              <w14:schemeClr w14:val="tx1"/>
            </w14:solidFill>
          </w14:textFill>
        </w:rPr>
        <w:t>担保形式不限，对于资金落实到位的政府投资项目，建设单位可以根据合同约定将有权部门出具的相应资金来源证明作为支付担保凭证</w:t>
      </w:r>
      <w:r>
        <w:rPr>
          <w:rFonts w:hint="eastAsia" w:ascii="宋体" w:hAnsi="宋体" w:eastAsia="宋体" w:cs="宋体"/>
          <w:color w:val="000000" w:themeColor="text1"/>
          <w:sz w:val="22"/>
          <w:szCs w:val="22"/>
          <w:highlight w:val="none"/>
          <w14:textFill>
            <w14:solidFill>
              <w14:schemeClr w14:val="tx1"/>
            </w14:solidFill>
          </w14:textFill>
        </w:rPr>
        <w:t>。</w:t>
      </w:r>
    </w:p>
    <w:p w14:paraId="09271D35">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6" w:name="_Toc351203635"/>
      <w:r>
        <w:rPr>
          <w:rFonts w:hint="eastAsia" w:ascii="宋体" w:hAnsi="宋体" w:eastAsia="宋体" w:cs="宋体"/>
          <w:color w:val="000000" w:themeColor="text1"/>
          <w:sz w:val="22"/>
          <w:szCs w:val="22"/>
          <w:highlight w:val="none"/>
          <w14:textFill>
            <w14:solidFill>
              <w14:schemeClr w14:val="tx1"/>
            </w14:solidFill>
          </w14:textFill>
        </w:rPr>
        <w:t>3</w:t>
      </w:r>
      <w:bookmarkStart w:id="57" w:name="_Toc296503158"/>
      <w:bookmarkStart w:id="58" w:name="_Toc292559363"/>
      <w:bookmarkStart w:id="59" w:name="_Toc296944497"/>
      <w:bookmarkStart w:id="60" w:name="_Toc296346659"/>
      <w:bookmarkStart w:id="61" w:name="_Toc296890986"/>
      <w:bookmarkStart w:id="62" w:name="_Toc297120458"/>
      <w:bookmarkStart w:id="63" w:name="_Toc296891198"/>
      <w:bookmarkStart w:id="64" w:name="_Toc296347157"/>
      <w:bookmarkStart w:id="65" w:name="_Toc297048344"/>
      <w:bookmarkStart w:id="66" w:name="_Toc292559868"/>
      <w:r>
        <w:rPr>
          <w:rFonts w:hint="eastAsia" w:ascii="宋体" w:hAnsi="宋体" w:eastAsia="宋体" w:cs="宋体"/>
          <w:color w:val="000000" w:themeColor="text1"/>
          <w:sz w:val="22"/>
          <w:szCs w:val="22"/>
          <w:highlight w:val="none"/>
          <w14:textFill>
            <w14:solidFill>
              <w14:schemeClr w14:val="tx1"/>
            </w14:solidFill>
          </w14:textFill>
        </w:rPr>
        <w:t>. 承包人</w:t>
      </w:r>
      <w:bookmarkEnd w:id="56"/>
    </w:p>
    <w:bookmarkEnd w:id="57"/>
    <w:bookmarkEnd w:id="58"/>
    <w:bookmarkEnd w:id="59"/>
    <w:bookmarkEnd w:id="60"/>
    <w:bookmarkEnd w:id="61"/>
    <w:bookmarkEnd w:id="62"/>
    <w:bookmarkEnd w:id="63"/>
    <w:bookmarkEnd w:id="64"/>
    <w:bookmarkEnd w:id="65"/>
    <w:bookmarkEnd w:id="66"/>
    <w:p w14:paraId="36846BAA">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bCs/>
          <w:color w:val="000000" w:themeColor="text1"/>
          <w:sz w:val="22"/>
          <w:szCs w:val="22"/>
          <w:highlight w:val="none"/>
          <w14:textFill>
            <w14:solidFill>
              <w14:schemeClr w14:val="tx1"/>
            </w14:solidFill>
          </w14:textFill>
        </w:rPr>
        <w:t>3.1 承包人的一般义务</w:t>
      </w:r>
    </w:p>
    <w:p w14:paraId="7DB593D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承包人提交的竣工资料的内容：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按发包人要求提交全套施工资料及竣工图  </w:t>
      </w:r>
      <w:r>
        <w:rPr>
          <w:rFonts w:hint="eastAsia" w:ascii="宋体" w:hAnsi="宋体" w:eastAsia="宋体" w:cs="宋体"/>
          <w:color w:val="000000" w:themeColor="text1"/>
          <w:sz w:val="22"/>
          <w:szCs w:val="22"/>
          <w:highlight w:val="none"/>
          <w14:textFill>
            <w14:solidFill>
              <w14:schemeClr w14:val="tx1"/>
            </w14:solidFill>
          </w14:textFill>
        </w:rPr>
        <w:t>。</w:t>
      </w:r>
    </w:p>
    <w:p w14:paraId="792D733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承包人需要提交的竣工资料套数：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竣工资料和竣工图  3 套 </w:t>
      </w:r>
      <w:r>
        <w:rPr>
          <w:rFonts w:hint="eastAsia" w:ascii="宋体" w:hAnsi="宋体" w:eastAsia="宋体" w:cs="宋体"/>
          <w:color w:val="000000" w:themeColor="text1"/>
          <w:sz w:val="22"/>
          <w:szCs w:val="22"/>
          <w:highlight w:val="none"/>
          <w14:textFill>
            <w14:solidFill>
              <w14:schemeClr w14:val="tx1"/>
            </w14:solidFill>
          </w14:textFill>
        </w:rPr>
        <w:t>。</w:t>
      </w:r>
    </w:p>
    <w:p w14:paraId="4B008B4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承包人提交的竣工资料的费用承担：</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由承包人负责  </w:t>
      </w:r>
      <w:r>
        <w:rPr>
          <w:rFonts w:hint="eastAsia" w:ascii="宋体" w:hAnsi="宋体" w:eastAsia="宋体" w:cs="宋体"/>
          <w:color w:val="000000" w:themeColor="text1"/>
          <w:sz w:val="22"/>
          <w:szCs w:val="22"/>
          <w:highlight w:val="none"/>
          <w14:textFill>
            <w14:solidFill>
              <w14:schemeClr w14:val="tx1"/>
            </w14:solidFill>
          </w14:textFill>
        </w:rPr>
        <w:t>。</w:t>
      </w:r>
    </w:p>
    <w:p w14:paraId="7B74110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承包人提交的竣工资料移交时间：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工程竣工验收合格后60日内，提交竣工（含结算）资料，逾期移交处罚1000元/天，逾期移交超过三十天的，发包人可拒收资料，由此造成的后果由承包人负责 </w:t>
      </w:r>
      <w:r>
        <w:rPr>
          <w:rFonts w:hint="eastAsia" w:ascii="宋体" w:hAnsi="宋体" w:eastAsia="宋体" w:cs="宋体"/>
          <w:color w:val="000000" w:themeColor="text1"/>
          <w:sz w:val="22"/>
          <w:szCs w:val="22"/>
          <w:highlight w:val="none"/>
          <w14:textFill>
            <w14:solidFill>
              <w14:schemeClr w14:val="tx1"/>
            </w14:solidFill>
          </w14:textFill>
        </w:rPr>
        <w:t>。</w:t>
      </w:r>
    </w:p>
    <w:p w14:paraId="3E7C348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承包人提交的竣工资料形式要求：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书面资料及电子档资料 </w:t>
      </w:r>
      <w:r>
        <w:rPr>
          <w:rFonts w:hint="eastAsia" w:ascii="宋体" w:hAnsi="宋体" w:eastAsia="宋体" w:cs="宋体"/>
          <w:color w:val="000000" w:themeColor="text1"/>
          <w:sz w:val="22"/>
          <w:szCs w:val="22"/>
          <w:highlight w:val="none"/>
          <w14:textFill>
            <w14:solidFill>
              <w14:schemeClr w14:val="tx1"/>
            </w14:solidFill>
          </w14:textFill>
        </w:rPr>
        <w:t>。</w:t>
      </w:r>
    </w:p>
    <w:p w14:paraId="2892380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承包人应履行的其他义务：</w:t>
      </w:r>
    </w:p>
    <w:p w14:paraId="305B9F2F">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①承担施工安全保卫工作及非夜间施工照明的责任和要求：承包人在各种危险部位设置明显的安全警示标志，安全警示标志必须符合国家标准，如发生安全事故，责任概由承包人承担，并按招标文件的相关约定要求进行处罚。</w:t>
      </w:r>
    </w:p>
    <w:p w14:paraId="6597FE47">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②需承包人办理的有关施工场地交通、环卫环保和施工噪音管理等手续：遵守政府有关主管部门对施工场地交通、施工噪音、环境保护和安全生产等的管理规定，按规定办理有关手续，并以书面形式通知发包人，所有费用均已含在合同价中。</w:t>
      </w:r>
    </w:p>
    <w:p w14:paraId="192E6FDC">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③已完工程成品保护的特殊要求及费用承担：已竣工工程未交付发包人之前，负责已完成工程的保护工作，所需费用含在合同价内。</w:t>
      </w:r>
    </w:p>
    <w:p w14:paraId="063138AB">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④承包人必须对施工场地周围地下管线和邻近建筑物、构筑物进行保护，费用由承包人负责；如因承包人没有及时报告和保护而造成的一切经济损失和法律责任由承包人承担。</w:t>
      </w:r>
    </w:p>
    <w:p w14:paraId="4DAEF1E3">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⑤施工场地清洁卫生的要求：按文明工地标准，施工现场材料堆放要整齐，并有遮盖，不得扬尘，机械停放有序，符合清洁卫生要求，承担因自身原因违反有关规定造成的损失和罚款。</w:t>
      </w:r>
    </w:p>
    <w:p w14:paraId="33A36566">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⑥双方约定承包人应做的其他工作：施工场地要设立标语、标牌，做到文明施工，树立企业形象，主动接受社会监督和有关部门的管理。</w:t>
      </w:r>
    </w:p>
    <w:p w14:paraId="7B6B39E2">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⑦承包人在本专业工程竣工验收后七日内拆除所有临时设施，并清运出现场，费用由承包人负责。否则，如发生相关费用由发包人在工程竣工结算价款中扣除。</w:t>
      </w:r>
    </w:p>
    <w:p w14:paraId="47A61E6B">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⑧如发包人代扣代缴本工程应由承包人缴纳的各种费用，承包人必须履行发包人要求的各项手续，费用由承包人负责。</w:t>
      </w:r>
    </w:p>
    <w:p w14:paraId="21DDAFFF">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⑨本工程向建设主管部门办理的工程施工许可手续，由承包人代为办理，发包人协助，费用按规定承担。</w:t>
      </w:r>
    </w:p>
    <w:p w14:paraId="769FE94E">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⑩承包人无条件服从发包人管理工作的要求。自行协调与其它专业工程施工承包人（如有）之间的矛盾，如发生相关费用，由承包人自行承担。</w:t>
      </w:r>
    </w:p>
    <w:p w14:paraId="15BF4E89">
      <w:pPr>
        <w:pageBreakBefore w:val="0"/>
        <w:suppressAutoHyphens/>
        <w:kinsoku/>
        <w:wordWrap/>
        <w:overflowPunct/>
        <w:topLinePunct w:val="0"/>
        <w:bidi w:val="0"/>
        <w:snapToGrid/>
        <w:spacing w:line="400" w:lineRule="exact"/>
        <w:ind w:firstLine="420" w:firstLineChars="200"/>
        <w:rPr>
          <w:rFonts w:hint="eastAsia" w:ascii="宋体" w:hAnsi="宋体" w:eastAsia="宋体" w:cs="宋体"/>
          <w:b/>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Cs w:val="22"/>
          <w:highlight w:val="none"/>
          <w14:textFill>
            <w14:solidFill>
              <w14:schemeClr w14:val="tx1"/>
            </w14:solidFill>
          </w14:textFill>
        </w:rPr>
        <w:fldChar w:fldCharType="begin"/>
      </w:r>
      <w:r>
        <w:rPr>
          <w:rFonts w:hint="eastAsia" w:ascii="宋体" w:hAnsi="宋体" w:eastAsia="宋体" w:cs="宋体"/>
          <w:color w:val="000000" w:themeColor="text1"/>
          <w:szCs w:val="22"/>
          <w:highlight w:val="none"/>
          <w14:textFill>
            <w14:solidFill>
              <w14:schemeClr w14:val="tx1"/>
            </w14:solidFill>
          </w14:textFill>
        </w:rPr>
        <w:instrText xml:space="preserve">eq \o\ac(</w:instrText>
      </w:r>
      <w:r>
        <w:rPr>
          <w:rFonts w:hint="eastAsia" w:ascii="宋体" w:hAnsi="宋体" w:eastAsia="宋体" w:cs="宋体"/>
          <w:color w:val="000000" w:themeColor="text1"/>
          <w:position w:val="-4"/>
          <w:sz w:val="31"/>
          <w:szCs w:val="22"/>
          <w:highlight w:val="none"/>
          <w14:textFill>
            <w14:solidFill>
              <w14:schemeClr w14:val="tx1"/>
            </w14:solidFill>
          </w14:textFill>
        </w:rPr>
        <w:instrText xml:space="preserve">○</w:instrText>
      </w:r>
      <w:r>
        <w:rPr>
          <w:rFonts w:hint="eastAsia" w:ascii="宋体" w:hAnsi="宋体" w:eastAsia="宋体" w:cs="宋体"/>
          <w:color w:val="000000" w:themeColor="text1"/>
          <w:szCs w:val="22"/>
          <w:highlight w:val="none"/>
          <w14:textFill>
            <w14:solidFill>
              <w14:schemeClr w14:val="tx1"/>
            </w14:solidFill>
          </w14:textFill>
        </w:rPr>
        <w:instrText xml:space="preserve">,11)</w:instrText>
      </w:r>
      <w:r>
        <w:rPr>
          <w:rFonts w:hint="eastAsia" w:ascii="宋体" w:hAnsi="宋体" w:eastAsia="宋体" w:cs="宋体"/>
          <w:color w:val="000000" w:themeColor="text1"/>
          <w:szCs w:val="22"/>
          <w:highlight w:val="none"/>
          <w14:textFill>
            <w14:solidFill>
              <w14:schemeClr w14:val="tx1"/>
            </w14:solidFill>
          </w14:textFill>
        </w:rPr>
        <w:fldChar w:fldCharType="end"/>
      </w:r>
      <w:r>
        <w:rPr>
          <w:rFonts w:hint="eastAsia" w:ascii="宋体" w:hAnsi="宋体" w:eastAsia="宋体" w:cs="宋体"/>
          <w:b/>
          <w:color w:val="000000" w:themeColor="text1"/>
          <w:sz w:val="22"/>
          <w:szCs w:val="22"/>
          <w:highlight w:val="none"/>
          <w:u w:val="single"/>
          <w14:textFill>
            <w14:solidFill>
              <w14:schemeClr w14:val="tx1"/>
            </w14:solidFill>
          </w14:textFill>
        </w:rPr>
        <w:t>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14:paraId="3C19B04D">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3.2 项目经理</w:t>
      </w:r>
    </w:p>
    <w:p w14:paraId="3EA34204">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3.2.1 项目经理：</w:t>
      </w:r>
    </w:p>
    <w:p w14:paraId="6351FB6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姓    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1CCAAB7C">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身份证号：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7B9D2F5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建造师执业资格等级：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23D2489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建造师注册证书号：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4856554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建造师执业印章号：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3488FA0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安全生产考核合格证书号：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2E16CE8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AD2A09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9712F3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4DB4415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承包人对项目经理的授权范围如下：</w:t>
      </w:r>
      <w:r>
        <w:rPr>
          <w:rFonts w:hint="eastAsia" w:ascii="宋体" w:hAnsi="宋体" w:eastAsia="宋体" w:cs="宋体"/>
          <w:color w:val="000000" w:themeColor="text1"/>
          <w:sz w:val="22"/>
          <w:szCs w:val="22"/>
          <w:highlight w:val="none"/>
          <w:u w:val="single"/>
          <w14:textFill>
            <w14:solidFill>
              <w14:schemeClr w14:val="tx1"/>
            </w14:solidFill>
          </w14:textFill>
        </w:rPr>
        <w:t xml:space="preserve">对本工程的施工进度、质量、安全、工期、付款、以及设计变更等全面跟踪监督及服务，协调各方面矛盾 </w:t>
      </w:r>
      <w:r>
        <w:rPr>
          <w:rFonts w:hint="eastAsia" w:ascii="宋体" w:hAnsi="宋体" w:eastAsia="宋体" w:cs="宋体"/>
          <w:color w:val="000000" w:themeColor="text1"/>
          <w:sz w:val="22"/>
          <w:szCs w:val="22"/>
          <w:highlight w:val="none"/>
          <w14:textFill>
            <w14:solidFill>
              <w14:schemeClr w14:val="tx1"/>
            </w14:solidFill>
          </w14:textFill>
        </w:rPr>
        <w:t>。</w:t>
      </w:r>
    </w:p>
    <w:p w14:paraId="6CC1767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关于项目经理每月在施工现场的时间要求：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该工程施工过程中项目经理和签订合同前经发包人、监理单位及主管部门认定的项目部其他人员必须常驻现场实施施工管理</w:t>
      </w:r>
      <w:r>
        <w:rPr>
          <w:rFonts w:hint="eastAsia" w:ascii="宋体" w:hAnsi="宋体" w:eastAsia="宋体" w:cs="宋体"/>
          <w:color w:val="000000" w:themeColor="text1"/>
          <w:sz w:val="22"/>
          <w:szCs w:val="22"/>
          <w:highlight w:val="none"/>
          <w14:textFill>
            <w14:solidFill>
              <w14:schemeClr w14:val="tx1"/>
            </w14:solidFill>
          </w14:textFill>
        </w:rPr>
        <w:t>。</w:t>
      </w:r>
    </w:p>
    <w:p w14:paraId="054F194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承包人未提交劳动合同，以及没有为项目经理缴纳社会保险证明的违约责任：</w:t>
      </w:r>
      <w:r>
        <w:rPr>
          <w:rFonts w:hint="eastAsia" w:ascii="宋体" w:hAnsi="宋体" w:eastAsia="宋体" w:cs="宋体"/>
          <w:color w:val="000000" w:themeColor="text1"/>
          <w:sz w:val="22"/>
          <w:szCs w:val="22"/>
          <w:highlight w:val="none"/>
          <w:u w:val="single"/>
          <w14:textFill>
            <w14:solidFill>
              <w14:schemeClr w14:val="tx1"/>
            </w14:solidFill>
          </w14:textFill>
        </w:rPr>
        <w:t>按通用条款</w:t>
      </w:r>
      <w:r>
        <w:rPr>
          <w:rFonts w:hint="eastAsia" w:ascii="宋体" w:hAnsi="宋体" w:eastAsia="宋体" w:cs="宋体"/>
          <w:color w:val="000000" w:themeColor="text1"/>
          <w:sz w:val="22"/>
          <w:szCs w:val="22"/>
          <w:highlight w:val="none"/>
          <w14:textFill>
            <w14:solidFill>
              <w14:schemeClr w14:val="tx1"/>
            </w14:solidFill>
          </w14:textFill>
        </w:rPr>
        <w:t>。</w:t>
      </w:r>
    </w:p>
    <w:p w14:paraId="6B8CA41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项目经理未经批准，擅自离开施工现场的违约责任：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中途项目经理需离岗必须履行书面请假手续并经发包人同意。若未经发包人同意而擅自离岗的，将处以每人每天 2000 元的违约金，在支付工程款时从应付的工程款中扣除。若擅自离岗连续达7天以上的，经发包人提出仍未改正的，发包人有权终止合同，因此给发包人造成损失的，发包人将依法追偿</w:t>
      </w:r>
      <w:r>
        <w:rPr>
          <w:rFonts w:hint="eastAsia" w:ascii="宋体" w:hAnsi="宋体" w:eastAsia="宋体" w:cs="宋体"/>
          <w:color w:val="000000" w:themeColor="text1"/>
          <w:sz w:val="22"/>
          <w:szCs w:val="22"/>
          <w:highlight w:val="none"/>
          <w14:textFill>
            <w14:solidFill>
              <w14:schemeClr w14:val="tx1"/>
            </w14:solidFill>
          </w14:textFill>
        </w:rPr>
        <w:t>。</w:t>
      </w:r>
    </w:p>
    <w:p w14:paraId="1E465F7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3.2.3 承包人擅自更换项目经理的违约责任：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未经发包人同意擅自更换的，发包人有权终止合同</w:t>
      </w:r>
      <w:r>
        <w:rPr>
          <w:rFonts w:hint="eastAsia" w:ascii="宋体" w:hAnsi="宋体" w:eastAsia="宋体" w:cs="宋体"/>
          <w:color w:val="000000" w:themeColor="text1"/>
          <w:sz w:val="22"/>
          <w:szCs w:val="22"/>
          <w:highlight w:val="none"/>
          <w14:textFill>
            <w14:solidFill>
              <w14:schemeClr w14:val="tx1"/>
            </w14:solidFill>
          </w14:textFill>
        </w:rPr>
        <w:t>。</w:t>
      </w:r>
    </w:p>
    <w:p w14:paraId="11C4B738">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3.2.4 承包人无正当理由拒绝更换项目经理的违约责任：</w:t>
      </w:r>
      <w:r>
        <w:rPr>
          <w:rFonts w:hint="eastAsia" w:ascii="宋体" w:hAnsi="宋体" w:eastAsia="宋体" w:cs="宋体"/>
          <w:color w:val="000000" w:themeColor="text1"/>
          <w:sz w:val="22"/>
          <w:szCs w:val="22"/>
          <w:highlight w:val="none"/>
          <w:u w:val="single"/>
          <w14:textFill>
            <w14:solidFill>
              <w14:schemeClr w14:val="tx1"/>
            </w14:solidFill>
          </w14:textFill>
        </w:rPr>
        <w:t>发包人有权终止合同，因此给发包人造成损失的，发包人将依法追偿</w:t>
      </w:r>
      <w:r>
        <w:rPr>
          <w:rFonts w:hint="eastAsia" w:ascii="宋体" w:hAnsi="宋体" w:eastAsia="宋体" w:cs="宋体"/>
          <w:color w:val="000000" w:themeColor="text1"/>
          <w:sz w:val="22"/>
          <w:szCs w:val="22"/>
          <w:highlight w:val="none"/>
          <w14:textFill>
            <w14:solidFill>
              <w14:schemeClr w14:val="tx1"/>
            </w14:solidFill>
          </w14:textFill>
        </w:rPr>
        <w:t>。</w:t>
      </w:r>
    </w:p>
    <w:p w14:paraId="6DAD673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 承包人人员</w:t>
      </w:r>
    </w:p>
    <w:p w14:paraId="0D80624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3.3.1 承包人提交项目管理机构及施工现场管理人员安排报告的期限：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施工合同签订后3日内完成  </w:t>
      </w:r>
      <w:r>
        <w:rPr>
          <w:rFonts w:hint="eastAsia" w:ascii="宋体" w:hAnsi="宋体" w:eastAsia="宋体" w:cs="宋体"/>
          <w:color w:val="000000" w:themeColor="text1"/>
          <w:sz w:val="22"/>
          <w:szCs w:val="22"/>
          <w:highlight w:val="none"/>
          <w14:textFill>
            <w14:solidFill>
              <w14:schemeClr w14:val="tx1"/>
            </w14:solidFill>
          </w14:textFill>
        </w:rPr>
        <w:t>。</w:t>
      </w:r>
    </w:p>
    <w:p w14:paraId="4C467ED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3.3.3 承包人无正当理由拒绝撤换主要施工管理人员的违约责任：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发包人有权终止合同，因此给发包人造成损失的，发包人将依法追偿 </w:t>
      </w:r>
      <w:r>
        <w:rPr>
          <w:rFonts w:hint="eastAsia" w:ascii="宋体" w:hAnsi="宋体" w:eastAsia="宋体" w:cs="宋体"/>
          <w:color w:val="000000" w:themeColor="text1"/>
          <w:sz w:val="22"/>
          <w:szCs w:val="22"/>
          <w:highlight w:val="none"/>
          <w14:textFill>
            <w14:solidFill>
              <w14:schemeClr w14:val="tx1"/>
            </w14:solidFill>
          </w14:textFill>
        </w:rPr>
        <w:t>。</w:t>
      </w:r>
    </w:p>
    <w:p w14:paraId="3CF49F8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3.3.4 承包人主要施工管理人员离开施工现场的批准要求：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中途施工管理人员需离岗必须履行书面请假手续并经发包人同意 </w:t>
      </w:r>
      <w:r>
        <w:rPr>
          <w:rFonts w:hint="eastAsia" w:ascii="宋体" w:hAnsi="宋体" w:eastAsia="宋体" w:cs="宋体"/>
          <w:color w:val="000000" w:themeColor="text1"/>
          <w:sz w:val="22"/>
          <w:szCs w:val="22"/>
          <w:highlight w:val="none"/>
          <w14:textFill>
            <w14:solidFill>
              <w14:schemeClr w14:val="tx1"/>
            </w14:solidFill>
          </w14:textFill>
        </w:rPr>
        <w:t>。</w:t>
      </w:r>
    </w:p>
    <w:p w14:paraId="0A83A8E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3.3.5承包人擅自更换主要施工管理人员的违约责任：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将处以每人5000元的罚款 </w:t>
      </w:r>
      <w:r>
        <w:rPr>
          <w:rFonts w:hint="eastAsia" w:ascii="宋体" w:hAnsi="宋体" w:eastAsia="宋体" w:cs="宋体"/>
          <w:color w:val="000000" w:themeColor="text1"/>
          <w:sz w:val="22"/>
          <w:szCs w:val="22"/>
          <w:highlight w:val="none"/>
          <w14:textFill>
            <w14:solidFill>
              <w14:schemeClr w14:val="tx1"/>
            </w14:solidFill>
          </w14:textFill>
        </w:rPr>
        <w:t>。</w:t>
      </w:r>
    </w:p>
    <w:p w14:paraId="23E4550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承包人主要施工管理人员擅自离开施工现场的违约责任：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若未经发包人同意而擅自离岗的，将处以每人每天2000元的违约金，在支付工程款时从应付的工程款中扣除。若擅自离岗连续达7天以上的，经发包人提出仍未改正的，发包人有权终止合同，因此给发包人造成损失的，发包人将依法追偿  </w:t>
      </w:r>
      <w:r>
        <w:rPr>
          <w:rFonts w:hint="eastAsia" w:ascii="宋体" w:hAnsi="宋体" w:eastAsia="宋体" w:cs="宋体"/>
          <w:color w:val="000000" w:themeColor="text1"/>
          <w:sz w:val="22"/>
          <w:szCs w:val="22"/>
          <w:highlight w:val="none"/>
          <w14:textFill>
            <w14:solidFill>
              <w14:schemeClr w14:val="tx1"/>
            </w14:solidFill>
          </w14:textFill>
        </w:rPr>
        <w:t>。</w:t>
      </w:r>
    </w:p>
    <w:p w14:paraId="18A7F104">
      <w:pPr>
        <w:pageBreakBefore w:val="0"/>
        <w:kinsoku/>
        <w:wordWrap/>
        <w:overflowPunct/>
        <w:topLinePunct w:val="0"/>
        <w:bidi w:val="0"/>
        <w:snapToGrid/>
        <w:spacing w:line="400" w:lineRule="exact"/>
        <w:ind w:firstLine="552" w:firstLineChars="25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注：工程项目部管理人员必须严格按招投标文件要求及时配备到位。所有人员有持证要求的必须持证上岗，在项目经理的统一领导下，尽心尽职地做好本职工作。如不能胜任工作的，发包人将有权建议更换，直到更换至能胜任现场管理工作为止。</w:t>
      </w:r>
    </w:p>
    <w:p w14:paraId="482179D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w:t>
      </w:r>
      <w:bookmarkStart w:id="67" w:name="_Toc304295523"/>
      <w:bookmarkStart w:id="68" w:name="_Toc297120459"/>
      <w:bookmarkStart w:id="69" w:name="_Toc296891199"/>
      <w:bookmarkStart w:id="70" w:name="_Toc296890987"/>
      <w:bookmarkStart w:id="71" w:name="_Toc296503159"/>
      <w:bookmarkStart w:id="72" w:name="_Toc297123492"/>
      <w:bookmarkStart w:id="73" w:name="_Toc296347158"/>
      <w:bookmarkStart w:id="74" w:name="_Toc300934945"/>
      <w:bookmarkStart w:id="75" w:name="_Toc296346660"/>
      <w:bookmarkStart w:id="76" w:name="_Toc296944498"/>
      <w:bookmarkStart w:id="77" w:name="_Toc292559869"/>
      <w:bookmarkStart w:id="78" w:name="_Toc292559364"/>
      <w:bookmarkStart w:id="79" w:name="_Toc297048345"/>
      <w:bookmarkStart w:id="80" w:name="_Toc297216151"/>
      <w:bookmarkStart w:id="81" w:name="_Toc312677988"/>
      <w:bookmarkStart w:id="82" w:name="_Toc303539102"/>
      <w:r>
        <w:rPr>
          <w:rFonts w:hint="eastAsia" w:ascii="宋体" w:hAnsi="宋体" w:eastAsia="宋体" w:cs="宋体"/>
          <w:color w:val="000000" w:themeColor="text1"/>
          <w:sz w:val="22"/>
          <w:szCs w:val="22"/>
          <w:highlight w:val="none"/>
          <w14:textFill>
            <w14:solidFill>
              <w14:schemeClr w14:val="tx1"/>
            </w14:solidFill>
          </w14:textFill>
        </w:rPr>
        <w:t>.5 分包</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5D0B12C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w:t>
      </w:r>
      <w:bookmarkStart w:id="83" w:name="_Toc296891200"/>
      <w:bookmarkStart w:id="84" w:name="_Toc297123493"/>
      <w:bookmarkStart w:id="85" w:name="_Toc296944499"/>
      <w:bookmarkStart w:id="86" w:name="_Toc297216152"/>
      <w:bookmarkStart w:id="87" w:name="_Toc297048346"/>
      <w:bookmarkStart w:id="88" w:name="_Toc297120460"/>
      <w:bookmarkStart w:id="89" w:name="_Toc300934946"/>
      <w:bookmarkStart w:id="90" w:name="_Toc304295524"/>
      <w:bookmarkStart w:id="91" w:name="_Toc296346661"/>
      <w:bookmarkStart w:id="92" w:name="_Toc296503160"/>
      <w:bookmarkStart w:id="93" w:name="_Toc292559365"/>
      <w:bookmarkStart w:id="94" w:name="_Toc292559870"/>
      <w:bookmarkStart w:id="95" w:name="_Toc303539103"/>
      <w:bookmarkStart w:id="96" w:name="_Toc296347159"/>
      <w:bookmarkStart w:id="97" w:name="_Toc296890988"/>
      <w:bookmarkStart w:id="98" w:name="_Toc318581158"/>
      <w:bookmarkStart w:id="99" w:name="_Toc312677989"/>
      <w:r>
        <w:rPr>
          <w:rFonts w:hint="eastAsia" w:ascii="宋体" w:hAnsi="宋体" w:eastAsia="宋体" w:cs="宋体"/>
          <w:color w:val="000000" w:themeColor="text1"/>
          <w:sz w:val="22"/>
          <w:szCs w:val="22"/>
          <w:highlight w:val="none"/>
          <w14:textFill>
            <w14:solidFill>
              <w14:schemeClr w14:val="tx1"/>
            </w14:solidFill>
          </w14:textFill>
        </w:rPr>
        <w:t>.5.1 分包的一般约定</w:t>
      </w:r>
    </w:p>
    <w:p w14:paraId="5A02FA9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禁止分包的工程包括：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主体结构、关键性工作  </w:t>
      </w:r>
      <w:r>
        <w:rPr>
          <w:rFonts w:hint="eastAsia" w:ascii="宋体" w:hAnsi="宋体" w:eastAsia="宋体" w:cs="宋体"/>
          <w:color w:val="000000" w:themeColor="text1"/>
          <w:sz w:val="22"/>
          <w:szCs w:val="22"/>
          <w:highlight w:val="none"/>
          <w14:textFill>
            <w14:solidFill>
              <w14:schemeClr w14:val="tx1"/>
            </w14:solidFill>
          </w14:textFill>
        </w:rPr>
        <w:t>。</w:t>
      </w:r>
    </w:p>
    <w:p w14:paraId="6ED0C8D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主体结构、关键性工作的范围：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依据有关法律法规、规定、标准及设计文件的规定 </w:t>
      </w:r>
      <w:r>
        <w:rPr>
          <w:rFonts w:hint="eastAsia" w:ascii="宋体" w:hAnsi="宋体" w:eastAsia="宋体" w:cs="宋体"/>
          <w:color w:val="000000" w:themeColor="text1"/>
          <w:sz w:val="22"/>
          <w:szCs w:val="22"/>
          <w:highlight w:val="none"/>
          <w14:textFill>
            <w14:solidFill>
              <w14:schemeClr w14:val="tx1"/>
            </w14:solidFill>
          </w14:textFill>
        </w:rPr>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100" w:name="_Toc304295525"/>
      <w:bookmarkStart w:id="101" w:name="_Toc296346662"/>
      <w:bookmarkStart w:id="102" w:name="_Toc296944500"/>
      <w:bookmarkStart w:id="103" w:name="_Toc296347160"/>
      <w:bookmarkStart w:id="104" w:name="_Toc296891201"/>
      <w:bookmarkStart w:id="105" w:name="_Toc297120461"/>
      <w:bookmarkStart w:id="106" w:name="_Toc297123494"/>
      <w:bookmarkStart w:id="107" w:name="_Toc297048347"/>
      <w:bookmarkStart w:id="108" w:name="_Toc303539104"/>
      <w:bookmarkStart w:id="109" w:name="_Toc296890989"/>
      <w:bookmarkStart w:id="110" w:name="_Toc296503161"/>
      <w:bookmarkStart w:id="111" w:name="_Toc300934947"/>
      <w:bookmarkStart w:id="112" w:name="_Toc297216153"/>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56641154">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3</w:t>
      </w:r>
      <w:bookmarkStart w:id="113" w:name="_Toc312677990"/>
      <w:bookmarkStart w:id="114" w:name="_Toc318581159"/>
      <w:r>
        <w:rPr>
          <w:rFonts w:hint="eastAsia" w:ascii="宋体" w:hAnsi="宋体" w:eastAsia="宋体" w:cs="宋体"/>
          <w:color w:val="000000" w:themeColor="text1"/>
          <w:sz w:val="22"/>
          <w:szCs w:val="22"/>
          <w:highlight w:val="none"/>
          <w14:textFill>
            <w14:solidFill>
              <w14:schemeClr w14:val="tx1"/>
            </w14:solidFill>
          </w14:textFill>
        </w:rPr>
        <w:t>.5.2分包的确定</w:t>
      </w:r>
    </w:p>
    <w:p w14:paraId="32A1692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允许分包的专业工程包括：</w:t>
      </w:r>
      <w:r>
        <w:rPr>
          <w:rFonts w:hint="eastAsia" w:ascii="宋体" w:hAnsi="宋体" w:eastAsia="宋体" w:cs="宋体"/>
          <w:color w:val="000000" w:themeColor="text1"/>
          <w:sz w:val="22"/>
          <w:szCs w:val="22"/>
          <w:highlight w:val="none"/>
          <w:u w:val="single"/>
          <w14:textFill>
            <w14:solidFill>
              <w14:schemeClr w14:val="tx1"/>
            </w14:solidFill>
          </w14:textFill>
        </w:rPr>
        <w:t>如确有主体结构、关键性工作之外的专业工程需要分包的，须经发包人认可</w:t>
      </w:r>
      <w:r>
        <w:rPr>
          <w:rFonts w:hint="eastAsia" w:ascii="宋体" w:hAnsi="宋体" w:eastAsia="宋体" w:cs="宋体"/>
          <w:color w:val="000000" w:themeColor="text1"/>
          <w:sz w:val="22"/>
          <w:szCs w:val="22"/>
          <w:highlight w:val="none"/>
          <w14:textFill>
            <w14:solidFill>
              <w14:schemeClr w14:val="tx1"/>
            </w14:solidFill>
          </w14:textFill>
        </w:rPr>
        <w:t>。</w:t>
      </w:r>
    </w:p>
    <w:p w14:paraId="779C83B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其他关于分包的约定：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对于发包人进行的专业分包项目，承包人须对安全、质量、工程进度等进行分包管理并承担总包责任 </w:t>
      </w:r>
      <w:r>
        <w:rPr>
          <w:rFonts w:hint="eastAsia" w:ascii="宋体" w:hAnsi="宋体" w:eastAsia="宋体" w:cs="宋体"/>
          <w:color w:val="000000" w:themeColor="text1"/>
          <w:sz w:val="22"/>
          <w:szCs w:val="22"/>
          <w:highlight w:val="none"/>
          <w14:textFill>
            <w14:solidFill>
              <w14:schemeClr w14:val="tx1"/>
            </w14:solidFill>
          </w14:textFill>
        </w:rPr>
        <w:t>。</w:t>
      </w:r>
    </w:p>
    <w:p w14:paraId="6D6F67C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3.5.4 分包合同价款</w:t>
      </w:r>
    </w:p>
    <w:p w14:paraId="3BE5067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关于分包合同价款支付的约定：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按分包合同约定 </w:t>
      </w:r>
      <w:r>
        <w:rPr>
          <w:rFonts w:hint="eastAsia" w:ascii="宋体" w:hAnsi="宋体" w:eastAsia="宋体" w:cs="宋体"/>
          <w:color w:val="000000" w:themeColor="text1"/>
          <w:sz w:val="22"/>
          <w:szCs w:val="22"/>
          <w:highlight w:val="none"/>
          <w14:textFill>
            <w14:solidFill>
              <w14:schemeClr w14:val="tx1"/>
            </w14:solidFill>
          </w14:textFill>
        </w:rPr>
        <w:t>。</w:t>
      </w:r>
    </w:p>
    <w:bookmarkEnd w:id="113"/>
    <w:bookmarkEnd w:id="114"/>
    <w:p w14:paraId="58C7A4C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3.6 工程照管与成品、半成品保护</w:t>
      </w:r>
    </w:p>
    <w:p w14:paraId="7F85016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承包人负责照管工程及工程相关的材料、工程设备的起始时间：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进场直至施工完成交付使用，费用由承包人承担 </w:t>
      </w:r>
      <w:r>
        <w:rPr>
          <w:rFonts w:hint="eastAsia" w:ascii="宋体" w:hAnsi="宋体" w:eastAsia="宋体" w:cs="宋体"/>
          <w:color w:val="000000" w:themeColor="text1"/>
          <w:sz w:val="22"/>
          <w:szCs w:val="22"/>
          <w:highlight w:val="none"/>
          <w14:textFill>
            <w14:solidFill>
              <w14:schemeClr w14:val="tx1"/>
            </w14:solidFill>
          </w14:textFill>
        </w:rPr>
        <w:t>。</w:t>
      </w:r>
    </w:p>
    <w:p w14:paraId="5FE7B12E">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 履约担保</w:t>
      </w:r>
    </w:p>
    <w:p w14:paraId="37E45A2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承包人是否提供履约担保：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是  </w:t>
      </w:r>
      <w:r>
        <w:rPr>
          <w:rFonts w:hint="eastAsia" w:ascii="宋体" w:hAnsi="宋体" w:eastAsia="宋体" w:cs="宋体"/>
          <w:color w:val="000000" w:themeColor="text1"/>
          <w:sz w:val="22"/>
          <w:szCs w:val="22"/>
          <w:highlight w:val="none"/>
          <w14:textFill>
            <w14:solidFill>
              <w14:schemeClr w14:val="tx1"/>
            </w14:solidFill>
          </w14:textFill>
        </w:rPr>
        <w:t>。</w:t>
      </w:r>
    </w:p>
    <w:p w14:paraId="74C31E70">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承包人提供履约担保的形式、金额及期限的：</w:t>
      </w:r>
      <w:bookmarkStart w:id="115" w:name="_Toc351203636"/>
    </w:p>
    <w:p w14:paraId="5695436E">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3.7.1缴纳时间：中标人在收到中标通知书后，须在合同签订前，向招标人足额提交履约保证金或者保函，否则招标人可以取消中标资格；</w:t>
      </w:r>
    </w:p>
    <w:p w14:paraId="1D190C50">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3.7.2缴纳金额：乙方交纳合同价的10%（去尾法，到百元）作为本项目的履约保证金；</w:t>
      </w:r>
    </w:p>
    <w:p w14:paraId="47FB19B7">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3.7.3缴纳方式：供应商应当以转账、支票、汇票、本票或者金融机构、担保机构出具的保函、保险公司保险单等形式提交。</w:t>
      </w:r>
    </w:p>
    <w:p w14:paraId="3DD325CD">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3.7.4本项目对AA评级及以上政府采购供应商（需提供信用管理部门备案的第三方信用报告）免收履约保证金。</w:t>
      </w:r>
    </w:p>
    <w:p w14:paraId="5CC0473C">
      <w:pPr>
        <w:pageBreakBefore w:val="0"/>
        <w:widowControl/>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备注：鼓励采购人对AA评级及以上政府采购供应商（需提供信用管理部门备案的第三方信用报告）免收履约保证金或降低履约保证金缴纳比例。依据《关于在全省政府采购领域推行电子履约保函（保险）的通知》，鼓励供应商自愿使用履约保函（保险）代替缴纳履约保证金）。</w:t>
      </w:r>
    </w:p>
    <w:p w14:paraId="72CE6376">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3.7.5履约保证金的退还</w:t>
      </w:r>
    </w:p>
    <w:p w14:paraId="765BEA85">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3.7.5.1方式：退还至乙方缴纳履约保证金的账户。如为保函，乙方需提供保函至项目验收合格结束，验收合格结束后保函自动失效。</w:t>
      </w:r>
    </w:p>
    <w:p w14:paraId="0F4AA7A5">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3.7.5.2时间：项目全部完成并验收合格。</w:t>
      </w:r>
    </w:p>
    <w:p w14:paraId="77AA4AD3">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3.7.5.4不予退还情形：</w:t>
      </w:r>
    </w:p>
    <w:p w14:paraId="69DCCEC9">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除不可抗力情况外，乙方出现下列情形之一的，将视情节决定履约保证金是否不予退还。</w:t>
      </w:r>
    </w:p>
    <w:p w14:paraId="0F5217E7">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（1）乙方无正当理由拒绝签订合同的，或者在签订合同时向甲方提出附加条件或者更改合同实质性内容要求的；</w:t>
      </w:r>
    </w:p>
    <w:p w14:paraId="7B90F5A2">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（2）乙方不履行与甲方订立的合同的；</w:t>
      </w:r>
    </w:p>
    <w:p w14:paraId="0EBC058A">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（3）乙方所供货物或服务不符合磋商文件规定要求的；</w:t>
      </w:r>
    </w:p>
    <w:p w14:paraId="555698D1">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（4）乙方采取欺骗、弄虚作假方式投标的或与其它磋商供应商串通投标的；</w:t>
      </w:r>
    </w:p>
    <w:p w14:paraId="2D2CE208">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（5）乙方故意捏造事实或伪造证明材料，进行虚假恶意投诉或反映的。</w:t>
      </w:r>
    </w:p>
    <w:p w14:paraId="1970FDF7">
      <w:pPr>
        <w:pageBreakBefore w:val="0"/>
        <w:kinsoku/>
        <w:wordWrap/>
        <w:overflowPunct/>
        <w:topLinePunct w:val="0"/>
        <w:bidi w:val="0"/>
        <w:snapToGrid/>
        <w:spacing w:line="400" w:lineRule="exact"/>
        <w:ind w:firstLine="480"/>
        <w:jc w:val="left"/>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3.7.5.5逾期退还的违约责任：甲方逾期无故未退还履约保证金的，按中国人民银行同期存款基准利率支付超期资金占用费，但因乙方自身原因导致无法及时退还的除外。</w:t>
      </w:r>
    </w:p>
    <w:p w14:paraId="0DF5E5C0">
      <w:pPr>
        <w:pageBreakBefore w:val="0"/>
        <w:kinsoku/>
        <w:wordWrap/>
        <w:overflowPunct/>
        <w:topLinePunct w:val="0"/>
        <w:bidi w:val="0"/>
        <w:snapToGrid/>
        <w:spacing w:line="400" w:lineRule="exact"/>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w:t>
      </w:r>
      <w:bookmarkStart w:id="116" w:name="_Toc297120462"/>
      <w:bookmarkStart w:id="117" w:name="_Toc292559871"/>
      <w:bookmarkStart w:id="118" w:name="_Toc292559366"/>
      <w:bookmarkStart w:id="119" w:name="_Toc296890990"/>
      <w:bookmarkStart w:id="120" w:name="_Toc297048348"/>
      <w:bookmarkStart w:id="121" w:name="_Toc296347161"/>
      <w:bookmarkStart w:id="122" w:name="_Toc267251413"/>
      <w:bookmarkStart w:id="123" w:name="_Toc296944501"/>
      <w:bookmarkStart w:id="124" w:name="_Toc296891202"/>
      <w:bookmarkStart w:id="125" w:name="_Toc296346663"/>
      <w:bookmarkStart w:id="126" w:name="_Toc296503162"/>
      <w:r>
        <w:rPr>
          <w:rFonts w:hint="eastAsia" w:ascii="宋体" w:hAnsi="宋体" w:eastAsia="宋体" w:cs="宋体"/>
          <w:color w:val="000000" w:themeColor="text1"/>
          <w:sz w:val="22"/>
          <w:szCs w:val="22"/>
          <w:highlight w:val="none"/>
          <w14:textFill>
            <w14:solidFill>
              <w14:schemeClr w14:val="tx1"/>
            </w14:solidFill>
          </w14:textFill>
        </w:rPr>
        <w:t>. 监</w:t>
      </w:r>
      <w:bookmarkEnd w:id="116"/>
      <w:bookmarkEnd w:id="117"/>
      <w:bookmarkEnd w:id="118"/>
      <w:bookmarkEnd w:id="119"/>
      <w:bookmarkEnd w:id="120"/>
      <w:bookmarkEnd w:id="121"/>
      <w:bookmarkEnd w:id="122"/>
      <w:bookmarkEnd w:id="123"/>
      <w:bookmarkEnd w:id="124"/>
      <w:bookmarkEnd w:id="125"/>
      <w:bookmarkEnd w:id="126"/>
      <w:r>
        <w:rPr>
          <w:rFonts w:hint="eastAsia" w:ascii="宋体" w:hAnsi="宋体" w:eastAsia="宋体" w:cs="宋体"/>
          <w:color w:val="000000" w:themeColor="text1"/>
          <w:sz w:val="22"/>
          <w:szCs w:val="22"/>
          <w:highlight w:val="none"/>
          <w14:textFill>
            <w14:solidFill>
              <w14:schemeClr w14:val="tx1"/>
            </w14:solidFill>
          </w14:textFill>
        </w:rPr>
        <w:t>理人</w:t>
      </w:r>
      <w:bookmarkEnd w:id="115"/>
    </w:p>
    <w:p w14:paraId="5708B20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4.1监理人的一般规定</w:t>
      </w:r>
    </w:p>
    <w:p w14:paraId="15AE7C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关于监理人的监理内容：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 </w:t>
      </w:r>
      <w:r>
        <w:rPr>
          <w:rFonts w:hint="eastAsia" w:ascii="宋体" w:hAnsi="宋体" w:eastAsia="宋体" w:cs="宋体"/>
          <w:color w:val="000000" w:themeColor="text1"/>
          <w:sz w:val="22"/>
          <w:szCs w:val="22"/>
          <w:highlight w:val="none"/>
          <w14:textFill>
            <w14:solidFill>
              <w14:schemeClr w14:val="tx1"/>
            </w14:solidFill>
          </w14:textFill>
        </w:rPr>
        <w:t>。</w:t>
      </w:r>
    </w:p>
    <w:p w14:paraId="4779681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关于监理人的监理权限：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根据《建设工程监理合同》约定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267B146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关于监理人在施工现场的办公场所、生活场所的提供和费用承担的约定：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由承包人提供，相关费用包含在签约合同价中 </w:t>
      </w:r>
      <w:r>
        <w:rPr>
          <w:rFonts w:hint="eastAsia" w:ascii="宋体" w:hAnsi="宋体" w:eastAsia="宋体" w:cs="宋体"/>
          <w:color w:val="000000" w:themeColor="text1"/>
          <w:sz w:val="22"/>
          <w:szCs w:val="22"/>
          <w:highlight w:val="none"/>
          <w14:textFill>
            <w14:solidFill>
              <w14:schemeClr w14:val="tx1"/>
            </w14:solidFill>
          </w14:textFill>
        </w:rPr>
        <w:t>。</w:t>
      </w:r>
    </w:p>
    <w:p w14:paraId="0266453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4.2 监理人员</w:t>
      </w:r>
    </w:p>
    <w:p w14:paraId="6E9ABD8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总监理工程师：</w:t>
      </w:r>
    </w:p>
    <w:p w14:paraId="1F5C8C2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姓    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39C61B6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职    务：</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3DE289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监理工程师执业资格证书号：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052B2B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4986407C">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7A9C868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B5EB23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关于监理人的其他约定：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凡涉及到设计变更、开工令、停工令、复工令及与工程造价有关的所有签证等事项，需要取得发包人批准才能行使的职权 </w:t>
      </w:r>
      <w:r>
        <w:rPr>
          <w:rFonts w:hint="eastAsia" w:ascii="宋体" w:hAnsi="宋体" w:eastAsia="宋体" w:cs="宋体"/>
          <w:color w:val="000000" w:themeColor="text1"/>
          <w:sz w:val="22"/>
          <w:szCs w:val="22"/>
          <w:highlight w:val="none"/>
          <w14:textFill>
            <w14:solidFill>
              <w14:schemeClr w14:val="tx1"/>
            </w14:solidFill>
          </w14:textFill>
        </w:rPr>
        <w:t>。</w:t>
      </w:r>
    </w:p>
    <w:p w14:paraId="6790CFD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4.4 商定或确定</w:t>
      </w:r>
    </w:p>
    <w:p w14:paraId="144EF8A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bookmarkStart w:id="127" w:name="_Toc267251418"/>
      <w:r>
        <w:rPr>
          <w:rFonts w:hint="eastAsia" w:ascii="宋体" w:hAnsi="宋体" w:eastAsia="宋体" w:cs="宋体"/>
          <w:color w:val="000000" w:themeColor="text1"/>
          <w:sz w:val="22"/>
          <w:szCs w:val="22"/>
          <w:highlight w:val="none"/>
          <w14:textFill>
            <w14:solidFill>
              <w14:schemeClr w14:val="tx1"/>
            </w14:solidFill>
          </w14:textFill>
        </w:rPr>
        <w:t>在发包人和承包人不能通过协商达成一致意见时，发包人授权监理人对以下事项进行确定：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根据监理合同约定进行  </w:t>
      </w:r>
      <w:r>
        <w:rPr>
          <w:rFonts w:hint="eastAsia" w:ascii="宋体" w:hAnsi="宋体" w:eastAsia="宋体" w:cs="宋体"/>
          <w:color w:val="000000" w:themeColor="text1"/>
          <w:sz w:val="22"/>
          <w:szCs w:val="22"/>
          <w:highlight w:val="none"/>
          <w14:textFill>
            <w14:solidFill>
              <w14:schemeClr w14:val="tx1"/>
            </w14:solidFill>
          </w14:textFill>
        </w:rPr>
        <w:t>.</w:t>
      </w:r>
    </w:p>
    <w:p w14:paraId="4EF6AAD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28" w:name="_Toc351203637"/>
      <w:r>
        <w:rPr>
          <w:rFonts w:hint="eastAsia" w:ascii="宋体" w:hAnsi="宋体" w:eastAsia="宋体" w:cs="宋体"/>
          <w:color w:val="000000" w:themeColor="text1"/>
          <w:sz w:val="22"/>
          <w:szCs w:val="22"/>
          <w:highlight w:val="none"/>
          <w14:textFill>
            <w14:solidFill>
              <w14:schemeClr w14:val="tx1"/>
            </w14:solidFill>
          </w14:textFill>
        </w:rPr>
        <w:t>5</w:t>
      </w:r>
      <w:bookmarkEnd w:id="127"/>
      <w:bookmarkStart w:id="129" w:name="_Toc296944502"/>
      <w:bookmarkStart w:id="130" w:name="_Toc292559872"/>
      <w:bookmarkStart w:id="131" w:name="_Toc297048349"/>
      <w:bookmarkStart w:id="132" w:name="_Toc297120463"/>
      <w:bookmarkStart w:id="133" w:name="_Toc296347162"/>
      <w:bookmarkStart w:id="134" w:name="_Toc296890991"/>
      <w:bookmarkStart w:id="135" w:name="_Toc292559367"/>
      <w:bookmarkStart w:id="136" w:name="_Toc296346664"/>
      <w:bookmarkStart w:id="137" w:name="_Toc296503163"/>
      <w:bookmarkStart w:id="138" w:name="_Toc296891203"/>
      <w:r>
        <w:rPr>
          <w:rFonts w:hint="eastAsia" w:ascii="宋体" w:hAnsi="宋体" w:eastAsia="宋体" w:cs="宋体"/>
          <w:color w:val="000000" w:themeColor="text1"/>
          <w:sz w:val="22"/>
          <w:szCs w:val="22"/>
          <w:highlight w:val="none"/>
          <w14:textFill>
            <w14:solidFill>
              <w14:schemeClr w14:val="tx1"/>
            </w14:solidFill>
          </w14:textFill>
        </w:rPr>
        <w:t>. 工程质量</w:t>
      </w:r>
      <w:bookmarkEnd w:id="128"/>
    </w:p>
    <w:p w14:paraId="6FE6999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5.1 质量要求</w:t>
      </w:r>
    </w:p>
    <w:p w14:paraId="7048EDA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w:t>
      </w:r>
      <w:bookmarkStart w:id="139" w:name="_Toc312677997"/>
      <w:bookmarkStart w:id="140" w:name="_Toc318581164"/>
      <w:bookmarkStart w:id="141" w:name="_Toc297123496"/>
      <w:bookmarkStart w:id="142" w:name="_Toc304295527"/>
      <w:bookmarkStart w:id="143" w:name="_Toc297216155"/>
      <w:bookmarkStart w:id="144" w:name="_Toc303539106"/>
      <w:bookmarkStart w:id="145" w:name="_Toc300934949"/>
      <w:r>
        <w:rPr>
          <w:rFonts w:hint="eastAsia" w:ascii="宋体" w:hAnsi="宋体" w:eastAsia="宋体" w:cs="宋体"/>
          <w:color w:val="000000" w:themeColor="text1"/>
          <w:sz w:val="22"/>
          <w:szCs w:val="22"/>
          <w:highlight w:val="none"/>
          <w14:textFill>
            <w14:solidFill>
              <w14:schemeClr w14:val="tx1"/>
            </w14:solidFill>
          </w14:textFill>
        </w:rPr>
        <w:t>.1.1 特殊质量标准和要求：</w:t>
      </w:r>
    </w:p>
    <w:p w14:paraId="359D81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①本工程质量必须达到承包人中标时承诺的质量标准及目标。</w:t>
      </w:r>
    </w:p>
    <w:p w14:paraId="7FEA20C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本工程发包人要求质量确保达到国家“合格”标准。若一次性验收不合格的，承包人按承包范围内工程合同价的3%向发包人支付违约金，直接从本工程的履约保证金或工程款中扣除。由此造成的工期延误将不予顺延，给发包人造成实际损失的还将承担经济赔偿责任。同时，承包人必须无偿整改达到承诺质量标准，保证工程按期交付使用。</w:t>
      </w:r>
    </w:p>
    <w:p w14:paraId="4B5442A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②承包人须严格按照设计图纸、质量标准、验收规范等组织施工，接受发包人、监理单位的检查。若发生工序、检验批等验收不符合质量目标要求的，每发生一次接受发包人以每次5000元-20000元的扣款，相关费用直接从应付工程款中扣除。若发生分项工程验收不符合质量目标要求的，每发生一次接受发包人以每次10000元-50000元的扣款，相关费用直接从应付工程款中扣除。若发生分部工程验收不符合质量目标要求的，每发生一次接受发包人以每次20000元-100000元的扣款，相关费用直接从应付工程款中扣除。另外承包人在执行上述要求的同时，并不免除在限期内整改到位、继续履行其他合同条款的义务，由此发生的所有费用均由承包人承担，工期、造价不给予补偿。若未按照发包人要求及时整改到位的发包人有权委托第三方代为实施，所发生的费用由承包人承担。拒不整改的发包人有权终止施工合同，已经完成的工作量按照70%结算。</w:t>
      </w:r>
    </w:p>
    <w:p w14:paraId="5ED56DE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③承包人须按法律法规及相关规定要求将建筑材料、建筑构配件、设备和商品混凝土，涉及安全的试块、试件及有关材料等送有甲方指定相应资质的检测单位检测，承包人最终将凭具有相应资质的检测单位出具的检测报告作为对工程质量评定的依据。对关键部位、关键工序及隐蔽部位须按相关规定要求报质量监督部门验收通过，否则发包人不予认可。</w:t>
      </w:r>
    </w:p>
    <w:p w14:paraId="29127FA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④非发包人原因，质量整改所发生的费用不予增加。</w:t>
      </w:r>
    </w:p>
    <w:p w14:paraId="6F528CE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关于工程奖项的约定：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41D89314">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5.3 隐蔽工程检查</w:t>
      </w:r>
    </w:p>
    <w:p w14:paraId="33B3B45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5.3.2承包人提前通知监理人隐蔽工程检查的期限的约定：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按监理交底执行 </w:t>
      </w:r>
      <w:r>
        <w:rPr>
          <w:rFonts w:hint="eastAsia" w:ascii="宋体" w:hAnsi="宋体" w:eastAsia="宋体" w:cs="宋体"/>
          <w:color w:val="000000" w:themeColor="text1"/>
          <w:sz w:val="22"/>
          <w:szCs w:val="22"/>
          <w:highlight w:val="none"/>
          <w14:textFill>
            <w14:solidFill>
              <w14:schemeClr w14:val="tx1"/>
            </w14:solidFill>
          </w14:textFill>
        </w:rPr>
        <w:t>。</w:t>
      </w:r>
    </w:p>
    <w:p w14:paraId="3376AB5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监理人不能按时进行检查时，应提前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24  </w:t>
      </w:r>
      <w:r>
        <w:rPr>
          <w:rFonts w:hint="eastAsia" w:ascii="宋体" w:hAnsi="宋体" w:eastAsia="宋体" w:cs="宋体"/>
          <w:color w:val="000000" w:themeColor="text1"/>
          <w:sz w:val="22"/>
          <w:szCs w:val="22"/>
          <w:highlight w:val="none"/>
          <w14:textFill>
            <w14:solidFill>
              <w14:schemeClr w14:val="tx1"/>
            </w14:solidFill>
          </w14:textFill>
        </w:rPr>
        <w:t>小时提交书面延期要求。</w:t>
      </w:r>
    </w:p>
    <w:p w14:paraId="4A4FE07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关于延期最长不得超过：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48   </w:t>
      </w:r>
      <w:r>
        <w:rPr>
          <w:rFonts w:hint="eastAsia" w:ascii="宋体" w:hAnsi="宋体" w:eastAsia="宋体" w:cs="宋体"/>
          <w:color w:val="000000" w:themeColor="text1"/>
          <w:sz w:val="22"/>
          <w:szCs w:val="22"/>
          <w:highlight w:val="none"/>
          <w14:textFill>
            <w14:solidFill>
              <w14:schemeClr w14:val="tx1"/>
            </w14:solidFill>
          </w14:textFill>
        </w:rPr>
        <w:t>小时。</w:t>
      </w:r>
    </w:p>
    <w:p w14:paraId="57EC96C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46" w:name="_Toc351203638"/>
      <w:r>
        <w:rPr>
          <w:rFonts w:hint="eastAsia" w:ascii="宋体" w:hAnsi="宋体" w:eastAsia="宋体" w:cs="宋体"/>
          <w:color w:val="000000" w:themeColor="text1"/>
          <w:sz w:val="22"/>
          <w:szCs w:val="22"/>
          <w:highlight w:val="none"/>
          <w14:textFill>
            <w14:solidFill>
              <w14:schemeClr w14:val="tx1"/>
            </w14:solidFill>
          </w14:textFill>
        </w:rPr>
        <w:t>6. 安全文明施工与环境保护</w:t>
      </w:r>
      <w:bookmarkEnd w:id="146"/>
    </w:p>
    <w:p w14:paraId="4F10E2F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6.1安全文明施工</w:t>
      </w:r>
    </w:p>
    <w:p w14:paraId="5916349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6.1.1 项目安全生产的达标目标及相应事项的约定：</w:t>
      </w:r>
      <w:r>
        <w:rPr>
          <w:rFonts w:hint="eastAsia" w:ascii="宋体" w:hAnsi="宋体" w:eastAsia="宋体" w:cs="宋体"/>
          <w:color w:val="000000" w:themeColor="text1"/>
          <w:sz w:val="22"/>
          <w:szCs w:val="22"/>
          <w:highlight w:val="none"/>
          <w:u w:val="single"/>
          <w14:textFill>
            <w14:solidFill>
              <w14:schemeClr w14:val="tx1"/>
            </w14:solidFill>
          </w14:textFill>
        </w:rPr>
        <w:t>承包人必须遵守国家、省、市建设主管部门有关安全、文明施工及扬尘控制等规定和要求，强化施工现场安全文明施工管理。本工程施工现场必须按照《安全标准化图集》要求实施。承包人进场后，必须严格按照经监理单位审查批准的方案实施施工场地总平面的布置，服从发包人和监理单位的统一调度和指挥。如出现不服从管理和下列现象的，发包人将视情节轻重认定承包人是否违约，并根据情况要求承包人承担违约责任，支付违约金。</w:t>
      </w:r>
    </w:p>
    <w:p w14:paraId="068CE84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14:paraId="1DDD5F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 xml:space="preserve">承包人应按有关规定编制施工组织设计方案和安全专项方案，采取严格的安全防护措施，确保工程施工安全管理到位，并接受发包人、监理单位及相关部门的安全监督和检查，对于发包人、监理单位及相关部门在监督和检查过程中发现的安全隐患，承包人必须在限期内进行整改。由于整改造成工期延误的责任由承包人承担。对发现的安全隐患，承包人逾期不整改的，承包人将承担5000元/次的违约金。对发现的重大隐患的，承包人将承担10000元/次的违约金。施工期间如发生安全生产伤亡事故时，承包人应按规定及时上报有关部门并通知发包人，同时按相关规定处理 </w:t>
      </w:r>
      <w:r>
        <w:rPr>
          <w:rFonts w:hint="eastAsia" w:ascii="宋体" w:hAnsi="宋体" w:eastAsia="宋体" w:cs="宋体"/>
          <w:color w:val="000000" w:themeColor="text1"/>
          <w:sz w:val="22"/>
          <w:szCs w:val="22"/>
          <w:highlight w:val="none"/>
          <w14:textFill>
            <w14:solidFill>
              <w14:schemeClr w14:val="tx1"/>
            </w14:solidFill>
          </w14:textFill>
        </w:rPr>
        <w:t>。</w:t>
      </w:r>
    </w:p>
    <w:p w14:paraId="726403D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6.1.4 关于治安保卫的特别约定：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0A28703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关于编制施工场地治安管理计划的约定：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E2E14F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6.1.5 文明施工</w:t>
      </w:r>
    </w:p>
    <w:p w14:paraId="0C8C70A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合同当事人对文明施工的要求：</w:t>
      </w:r>
    </w:p>
    <w:p w14:paraId="267A94B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1）承包人在施工过程中应严格执行国家、省、市、行业主管部门关于文明施工的有关规定，加强文明施工、扬尘控制、噪声污染控制等管理。发包人、监理单位、行业主管部门有权监督检查承包人文明施工措施的落实情况。由于承包人疏于采取文明施工措施所造成的必要费用的支出，由承包人支付，承包人未支付或迟延支付的，发包人可从工程款中予以提取。</w:t>
      </w:r>
    </w:p>
    <w:p w14:paraId="008277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（2）施工工作面内所有现场清理、矛盾协调处理等含在合同价内，结算时不予调整。</w:t>
      </w:r>
    </w:p>
    <w:p w14:paraId="3AEA38A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（3）施工过程中应确保沿线单位、小区居民的临时出行和正常的生产生活秩序，协调处理好相关矛盾，费用由承包人自行负责。</w:t>
      </w:r>
    </w:p>
    <w:p w14:paraId="2E98101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（4）因施工安全所需设置的各种警示标牌、警示灯、施工现场围护、导行交通、安全防护等措施费用由承包人自行负责。</w:t>
      </w:r>
    </w:p>
    <w:p w14:paraId="01E0E12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（5）工程施工过程中遇到的地方矛盾及由此发生的费用由承包人自行负责。</w:t>
      </w:r>
    </w:p>
    <w:p w14:paraId="25DAD99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（6）施工过程中如因承包人造成周边地上、地下附作物等损坏，均由承包人自行负责赔偿。</w:t>
      </w:r>
    </w:p>
    <w:p w14:paraId="0513010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（7）工程质量、工期、现场安全文明施工等的管理按照发包人为强化项目管理所制定的各项管理制度执行，相关管理规定如有调整应按最新文件执行。</w:t>
      </w:r>
    </w:p>
    <w:p w14:paraId="07A0BBB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（8）本工程施工现场的围挡按照盐市城管〔2018〕6号文执行，围挡设置的效果和结构参照市政公用工程施工现场围挡设置推荐图册，围挡应优先采用装配式施工，重复利用。</w:t>
      </w:r>
    </w:p>
    <w:p w14:paraId="47EA659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9）承包人必须严执行盐建建筑〔2018〕18号文《2018年盐城市建筑工地施工扬尘治理实施方案》的要求，如违反规定，除整改外，承包人还须向发包人支付每次不少于5000元的违约金，承包人必须在发包人处理决定后3日内以现金形式交由发包人。</w:t>
      </w:r>
    </w:p>
    <w:p w14:paraId="09BC5C8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6.1.6 关于安全文明施工费支付比例和支付期限的约定：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本工程安全文明施工费不单独支付，包含在工程款中支付，详见12.4.1约定 </w:t>
      </w:r>
      <w:r>
        <w:rPr>
          <w:rFonts w:hint="eastAsia" w:ascii="宋体" w:hAnsi="宋体" w:eastAsia="宋体" w:cs="宋体"/>
          <w:color w:val="000000" w:themeColor="text1"/>
          <w:sz w:val="22"/>
          <w:szCs w:val="22"/>
          <w:highlight w:val="none"/>
          <w14:textFill>
            <w14:solidFill>
              <w14:schemeClr w14:val="tx1"/>
            </w14:solidFill>
          </w14:textFill>
        </w:rPr>
        <w:t>。</w:t>
      </w:r>
    </w:p>
    <w:bookmarkEnd w:id="139"/>
    <w:bookmarkEnd w:id="140"/>
    <w:bookmarkEnd w:id="141"/>
    <w:bookmarkEnd w:id="142"/>
    <w:bookmarkEnd w:id="143"/>
    <w:bookmarkEnd w:id="144"/>
    <w:bookmarkEnd w:id="145"/>
    <w:p w14:paraId="62795A6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47" w:name="_Toc351203639"/>
      <w:r>
        <w:rPr>
          <w:rFonts w:hint="eastAsia" w:ascii="宋体" w:hAnsi="宋体" w:eastAsia="宋体" w:cs="宋体"/>
          <w:color w:val="000000" w:themeColor="text1"/>
          <w:sz w:val="22"/>
          <w:szCs w:val="22"/>
          <w:highlight w:val="none"/>
          <w14:textFill>
            <w14:solidFill>
              <w14:schemeClr w14:val="tx1"/>
            </w14:solidFill>
          </w14:textFill>
        </w:rPr>
        <w:t>7. 工期和进度</w:t>
      </w:r>
      <w:bookmarkEnd w:id="147"/>
    </w:p>
    <w:p w14:paraId="08E6DC9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7.1 施工组织设计</w:t>
      </w:r>
    </w:p>
    <w:p w14:paraId="33B707A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7.1.1 合同当事人约定的施工组织设计应包括的其他内容：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提交详细施工组织设计的期限的约定：中标通知书发出后，承包人的法定代表人（或授权委托人）和项目经理应在三日内向发包人提交一份施工进度计划进行确认并与发包人签订施工合同。承包人严格按照经发包人批准的施工计划组织施工。承包人接受发包人对进度的检查、监督，工程实际进度与经确认的进度计划不符时，承包人应按发包人的要求及时提出改进措施，经发包人书面确认后执行。因承包人的原因导致实际进度与进度计划不符，承包人无权就改进措施提出追加合同工期、修改合同条款或提高合同价款，承包人施工组织设计中编制进度计划时按日历天为单位考虑工作量 </w:t>
      </w:r>
      <w:r>
        <w:rPr>
          <w:rFonts w:hint="eastAsia" w:ascii="宋体" w:hAnsi="宋体" w:eastAsia="宋体" w:cs="宋体"/>
          <w:color w:val="000000" w:themeColor="text1"/>
          <w:sz w:val="22"/>
          <w:szCs w:val="22"/>
          <w:highlight w:val="none"/>
          <w14:textFill>
            <w14:solidFill>
              <w14:schemeClr w14:val="tx1"/>
            </w14:solidFill>
          </w14:textFill>
        </w:rPr>
        <w:t>。</w:t>
      </w:r>
    </w:p>
    <w:p w14:paraId="5328FE9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7.1.2 施工组织设计的提交和修改</w:t>
      </w:r>
    </w:p>
    <w:p w14:paraId="2417CB1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承包人提交详细施工组织设计的期限的约定：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在合同签订后3日内 </w:t>
      </w:r>
      <w:r>
        <w:rPr>
          <w:rFonts w:hint="eastAsia" w:ascii="宋体" w:hAnsi="宋体" w:eastAsia="宋体" w:cs="宋体"/>
          <w:color w:val="000000" w:themeColor="text1"/>
          <w:sz w:val="22"/>
          <w:szCs w:val="22"/>
          <w:highlight w:val="none"/>
          <w14:textFill>
            <w14:solidFill>
              <w14:schemeClr w14:val="tx1"/>
            </w14:solidFill>
          </w14:textFill>
        </w:rPr>
        <w:t>。</w:t>
      </w:r>
    </w:p>
    <w:p w14:paraId="6D80214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发包人和监理人在收到详细的施工组织设计后确认或提出修改意见的期限：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w:t>
      </w:r>
      <w:r>
        <w:rPr>
          <w:rFonts w:hint="eastAsia" w:ascii="宋体" w:hAnsi="宋体" w:eastAsia="宋体" w:cs="宋体"/>
          <w:color w:val="000000" w:themeColor="text1"/>
          <w:sz w:val="22"/>
          <w:szCs w:val="22"/>
          <w:highlight w:val="none"/>
          <w14:textFill>
            <w14:solidFill>
              <w14:schemeClr w14:val="tx1"/>
            </w14:solidFill>
          </w14:textFill>
        </w:rPr>
        <w:t>。</w:t>
      </w:r>
    </w:p>
    <w:p w14:paraId="07266B8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48" w:name="_Toc300934966"/>
      <w:bookmarkStart w:id="149" w:name="_Toc297216173"/>
      <w:bookmarkStart w:id="150" w:name="_Toc312678005"/>
      <w:bookmarkStart w:id="151" w:name="_Toc304295541"/>
      <w:bookmarkStart w:id="152" w:name="_Toc297123514"/>
      <w:bookmarkStart w:id="153" w:name="_Toc303539123"/>
      <w:bookmarkStart w:id="154" w:name="_Toc312677479"/>
      <w:r>
        <w:rPr>
          <w:rFonts w:hint="eastAsia" w:ascii="宋体" w:hAnsi="宋体" w:eastAsia="宋体" w:cs="宋体"/>
          <w:color w:val="000000" w:themeColor="text1"/>
          <w:sz w:val="22"/>
          <w:szCs w:val="22"/>
          <w:highlight w:val="none"/>
          <w14:textFill>
            <w14:solidFill>
              <w14:schemeClr w14:val="tx1"/>
            </w14:solidFill>
          </w14:textFill>
        </w:rPr>
        <w:t>.2 施工进度计划</w:t>
      </w:r>
    </w:p>
    <w:p w14:paraId="3C8E2E7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7.2.2 施工进度计划的修订</w:t>
      </w:r>
    </w:p>
    <w:p w14:paraId="3A340B6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发包人和监理人在收到修订的施工进度计划后确认或提出修改意见的期限：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 </w:t>
      </w:r>
      <w:r>
        <w:rPr>
          <w:rFonts w:hint="eastAsia" w:ascii="宋体" w:hAnsi="宋体" w:eastAsia="宋体" w:cs="宋体"/>
          <w:color w:val="000000" w:themeColor="text1"/>
          <w:sz w:val="22"/>
          <w:szCs w:val="22"/>
          <w:highlight w:val="none"/>
          <w14:textFill>
            <w14:solidFill>
              <w14:schemeClr w14:val="tx1"/>
            </w14:solidFill>
          </w14:textFill>
        </w:rPr>
        <w:t>。</w:t>
      </w:r>
    </w:p>
    <w:p w14:paraId="26995A0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7.3 开工</w:t>
      </w:r>
    </w:p>
    <w:p w14:paraId="4480BFD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7.3.1 开工准备</w:t>
      </w:r>
    </w:p>
    <w:p w14:paraId="66D90FD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关于承包人提交工程开工报审表的期限：</w:t>
      </w:r>
      <w:r>
        <w:rPr>
          <w:rFonts w:hint="eastAsia" w:ascii="宋体" w:hAnsi="宋体" w:eastAsia="宋体" w:cs="宋体"/>
          <w:color w:val="000000" w:themeColor="text1"/>
          <w:sz w:val="22"/>
          <w:szCs w:val="22"/>
          <w:highlight w:val="none"/>
          <w:u w:val="single"/>
          <w14:textFill>
            <w14:solidFill>
              <w14:schemeClr w14:val="tx1"/>
            </w14:solidFill>
          </w14:textFill>
        </w:rPr>
        <w:t>计划开工日期前7天提交开工报审表或开工报告</w:t>
      </w:r>
      <w:r>
        <w:rPr>
          <w:rFonts w:hint="eastAsia" w:ascii="宋体" w:hAnsi="宋体" w:eastAsia="宋体" w:cs="宋体"/>
          <w:color w:val="000000" w:themeColor="text1"/>
          <w:sz w:val="22"/>
          <w:szCs w:val="22"/>
          <w:highlight w:val="none"/>
          <w14:textFill>
            <w14:solidFill>
              <w14:schemeClr w14:val="tx1"/>
            </w14:solidFill>
          </w14:textFill>
        </w:rPr>
        <w:t>。</w:t>
      </w:r>
    </w:p>
    <w:p w14:paraId="5A37528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关于发包人应完成的其他开工准备工作及期限：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开工前提供工程地质和地下管线资料；办理的施工所需证件、批件；交验水准点与坐标控制点交验 </w:t>
      </w:r>
      <w:r>
        <w:rPr>
          <w:rFonts w:hint="eastAsia" w:ascii="宋体" w:hAnsi="宋体" w:eastAsia="宋体" w:cs="宋体"/>
          <w:color w:val="000000" w:themeColor="text1"/>
          <w:sz w:val="22"/>
          <w:szCs w:val="22"/>
          <w:highlight w:val="none"/>
          <w14:textFill>
            <w14:solidFill>
              <w14:schemeClr w14:val="tx1"/>
            </w14:solidFill>
          </w14:textFill>
        </w:rPr>
        <w:t>。</w:t>
      </w:r>
    </w:p>
    <w:p w14:paraId="077F9237">
      <w:pPr>
        <w:pageBreakBefore w:val="0"/>
        <w:kinsoku/>
        <w:wordWrap/>
        <w:overflowPunct/>
        <w:topLinePunct w:val="0"/>
        <w:bidi w:val="0"/>
        <w:snapToGrid/>
        <w:spacing w:line="400" w:lineRule="exact"/>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关于承包人应完成的其他开工准备工作及期限：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开工前必须向发包人和总包单位提供施工进度计划、材料清单、材料进场计划、劳动力计划</w:t>
      </w:r>
      <w:r>
        <w:rPr>
          <w:rFonts w:hint="eastAsia" w:ascii="宋体" w:hAnsi="宋体" w:eastAsia="宋体" w:cs="宋体"/>
          <w:color w:val="000000" w:themeColor="text1"/>
          <w:sz w:val="22"/>
          <w:szCs w:val="22"/>
          <w:highlight w:val="none"/>
          <w14:textFill>
            <w14:solidFill>
              <w14:schemeClr w14:val="tx1"/>
            </w14:solidFill>
          </w14:textFill>
        </w:rPr>
        <w:t>。</w:t>
      </w:r>
    </w:p>
    <w:p w14:paraId="5CFB201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7.3.2开工通知</w:t>
      </w:r>
    </w:p>
    <w:p w14:paraId="5222E54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因发包人原因造成监理人未能在计划开工日期之日起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天内发出开工通知的，承包人有权提出价格调整要求，或者解除合同。</w:t>
      </w:r>
    </w:p>
    <w:bookmarkEnd w:id="148"/>
    <w:bookmarkEnd w:id="149"/>
    <w:bookmarkEnd w:id="150"/>
    <w:bookmarkEnd w:id="151"/>
    <w:bookmarkEnd w:id="152"/>
    <w:bookmarkEnd w:id="153"/>
    <w:bookmarkEnd w:id="154"/>
    <w:p w14:paraId="10778CE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7.4 测量放线</w:t>
      </w:r>
    </w:p>
    <w:p w14:paraId="622389F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7.4.1发包人通过监理人向承包人提供测量基准点、基准线和水准点及其书面资料的期限：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开工前现场交验  </w:t>
      </w:r>
      <w:r>
        <w:rPr>
          <w:rFonts w:hint="eastAsia" w:ascii="宋体" w:hAnsi="宋体" w:eastAsia="宋体" w:cs="宋体"/>
          <w:color w:val="000000" w:themeColor="text1"/>
          <w:sz w:val="22"/>
          <w:szCs w:val="22"/>
          <w:highlight w:val="none"/>
          <w14:textFill>
            <w14:solidFill>
              <w14:schemeClr w14:val="tx1"/>
            </w14:solidFill>
          </w14:textFill>
        </w:rPr>
        <w:t>。</w:t>
      </w:r>
    </w:p>
    <w:p w14:paraId="767541C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55" w:name="_Toc303539125"/>
      <w:bookmarkStart w:id="156" w:name="_Toc312678010"/>
      <w:bookmarkStart w:id="157" w:name="_Toc300934968"/>
      <w:bookmarkStart w:id="158" w:name="_Toc312677484"/>
      <w:bookmarkStart w:id="159" w:name="_Toc304295546"/>
      <w:bookmarkStart w:id="160" w:name="_Toc297216175"/>
      <w:bookmarkStart w:id="161" w:name="_Toc297123516"/>
      <w:r>
        <w:rPr>
          <w:rFonts w:hint="eastAsia" w:ascii="宋体" w:hAnsi="宋体" w:eastAsia="宋体" w:cs="宋体"/>
          <w:color w:val="000000" w:themeColor="text1"/>
          <w:sz w:val="22"/>
          <w:szCs w:val="22"/>
          <w:highlight w:val="none"/>
          <w14:textFill>
            <w14:solidFill>
              <w14:schemeClr w14:val="tx1"/>
            </w14:solidFill>
          </w14:textFill>
        </w:rPr>
        <w:t>.5 工期延误</w:t>
      </w:r>
    </w:p>
    <w:bookmarkEnd w:id="155"/>
    <w:bookmarkEnd w:id="156"/>
    <w:bookmarkEnd w:id="157"/>
    <w:bookmarkEnd w:id="158"/>
    <w:bookmarkEnd w:id="159"/>
    <w:bookmarkEnd w:id="160"/>
    <w:bookmarkEnd w:id="161"/>
    <w:p w14:paraId="70DCC79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7.5.1 因发包人原因导致工期延误</w:t>
      </w:r>
    </w:p>
    <w:p w14:paraId="20242EF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（7）因发包人原因导致工期延误的其他情形：</w:t>
      </w:r>
      <w:r>
        <w:rPr>
          <w:rFonts w:hint="eastAsia" w:ascii="宋体" w:hAnsi="宋体" w:eastAsia="宋体" w:cs="宋体"/>
          <w:color w:val="000000" w:themeColor="text1"/>
          <w:sz w:val="22"/>
          <w:szCs w:val="22"/>
          <w:highlight w:val="none"/>
          <w:u w:val="single"/>
          <w14:textFill>
            <w14:solidFill>
              <w14:schemeClr w14:val="tx1"/>
            </w14:solidFill>
          </w14:textFill>
        </w:rPr>
        <w:t xml:space="preserve"> ①一周内非承包方原因停电、停水累计达8小时以上；②发包人未能及时提供施工图纸；③经发包人确认的不可抗力因素；④合同中约定的或发包人同意工期顺延的其他情况。上述情况必须经发包人、监理单位书面确认 </w:t>
      </w:r>
      <w:r>
        <w:rPr>
          <w:rFonts w:hint="eastAsia" w:ascii="宋体" w:hAnsi="宋体" w:eastAsia="宋体" w:cs="宋体"/>
          <w:color w:val="000000" w:themeColor="text1"/>
          <w:sz w:val="22"/>
          <w:szCs w:val="22"/>
          <w:highlight w:val="none"/>
          <w14:textFill>
            <w14:solidFill>
              <w14:schemeClr w14:val="tx1"/>
            </w14:solidFill>
          </w14:textFill>
        </w:rPr>
        <w:t>。</w:t>
      </w:r>
    </w:p>
    <w:p w14:paraId="41E8D18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本工程根据发包人的情况可能分段实施，因分段实施造成的临时设施、设备进退场、管理费、措施费等所有可能增加的费用承包人充分考虑，发包人不因此增加任何费用。承包人在投标报价中自行考虑相关费用。</w:t>
      </w:r>
    </w:p>
    <w:p w14:paraId="4C72A7E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62" w:name="_Toc318581169"/>
      <w:bookmarkStart w:id="163" w:name="_Toc312678012"/>
      <w:bookmarkStart w:id="164" w:name="_Toc312677486"/>
      <w:bookmarkStart w:id="165" w:name="_Toc304295548"/>
      <w:bookmarkStart w:id="166" w:name="_Toc303539127"/>
      <w:bookmarkStart w:id="167" w:name="_Toc297123518"/>
      <w:bookmarkStart w:id="168" w:name="_Toc300934970"/>
      <w:bookmarkStart w:id="169" w:name="_Toc297216177"/>
      <w:r>
        <w:rPr>
          <w:rFonts w:hint="eastAsia" w:ascii="宋体" w:hAnsi="宋体" w:eastAsia="宋体" w:cs="宋体"/>
          <w:color w:val="000000" w:themeColor="text1"/>
          <w:sz w:val="22"/>
          <w:szCs w:val="22"/>
          <w:highlight w:val="none"/>
          <w14:textFill>
            <w14:solidFill>
              <w14:schemeClr w14:val="tx1"/>
            </w14:solidFill>
          </w14:textFill>
        </w:rPr>
        <w:t>.5.2 因承包人原因导致工期延误</w:t>
      </w:r>
    </w:p>
    <w:bookmarkEnd w:id="162"/>
    <w:bookmarkEnd w:id="163"/>
    <w:bookmarkEnd w:id="164"/>
    <w:p w14:paraId="3DFEFC63">
      <w:pPr>
        <w:pageBreakBefore w:val="0"/>
        <w:tabs>
          <w:tab w:val="left" w:pos="8931"/>
        </w:tabs>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w:t>
      </w:r>
      <w:bookmarkStart w:id="170" w:name="_Toc312678013"/>
      <w:bookmarkStart w:id="171" w:name="_Toc312677487"/>
      <w:bookmarkStart w:id="172" w:name="_Toc318581170"/>
      <w:r>
        <w:rPr>
          <w:rFonts w:hint="eastAsia" w:ascii="宋体" w:hAnsi="宋体" w:eastAsia="宋体" w:cs="宋体"/>
          <w:color w:val="000000" w:themeColor="text1"/>
          <w:sz w:val="22"/>
          <w:szCs w:val="22"/>
          <w:highlight w:val="none"/>
          <w14:textFill>
            <w14:solidFill>
              <w14:schemeClr w14:val="tx1"/>
            </w14:solidFill>
          </w14:textFill>
        </w:rPr>
        <w:t>承包人原因造成工期延误，逾期竣工违约金的计算方法为：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开工时间以发包人批准的开工通知日期为准。如因不可抗力或发包人原因造成工期延误的，经监理和发包人书面签证确认后工期顺延，承包人不得以任何借口停工怠工。发包人将按承包人的施工进度计划表对施工进度进行考核：①承包人须严格按照进度计划组织施工，若发生未能按照进度计划表约定的节点工期建设，须在限期内整改，赶工到位，同时接受发包人以每次5000元的违约金，相关费用直接从工程款项中扣除。②在限期内未完成的，发包人将直接委托第三方代为赶工，所发生的实际费用由承包人承担，同时接受发包人以每次实际发生费用的双倍的违约金，相关费用直接从工程款项中扣除。③拒绝执行上述条款的，发包人有权清退承包人，已经发生的工作量按照审定后合格工程量的70%结算，同时由此造成的损失均由承包人承担。如因承包人的原因导致工程不能按期开工或按期竣工交付的，承包人应当向发包人支付每延期1天2000元违约金。承包人施工组织设计中编制进度计划时，应按天为单位考虑工作量，施工期间发包人将对照该进度计划进行考核，以每天(特殊情况考核周期可作适当调整)为一个考核周期。连续达两个（不含）以上考核期没完成工程进度计划的，发包人有权委托第三方代为赶工，按发生的费用的双倍直接从承包人工程款中扣除 </w:t>
      </w:r>
      <w:r>
        <w:rPr>
          <w:rFonts w:hint="eastAsia" w:ascii="宋体" w:hAnsi="宋体" w:eastAsia="宋体" w:cs="宋体"/>
          <w:color w:val="000000" w:themeColor="text1"/>
          <w:sz w:val="22"/>
          <w:szCs w:val="22"/>
          <w:highlight w:val="none"/>
          <w14:textFill>
            <w14:solidFill>
              <w14:schemeClr w14:val="tx1"/>
            </w14:solidFill>
          </w14:textFill>
        </w:rPr>
        <w:t>。</w:t>
      </w:r>
      <w:bookmarkEnd w:id="165"/>
      <w:bookmarkEnd w:id="166"/>
      <w:bookmarkEnd w:id="167"/>
      <w:bookmarkEnd w:id="168"/>
      <w:bookmarkEnd w:id="169"/>
      <w:bookmarkEnd w:id="170"/>
      <w:bookmarkEnd w:id="171"/>
    </w:p>
    <w:bookmarkEnd w:id="172"/>
    <w:p w14:paraId="65B979A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因承包人原因造成工期延误，逾</w:t>
      </w:r>
      <w:bookmarkStart w:id="173" w:name="_Toc312678014"/>
      <w:bookmarkStart w:id="174" w:name="_Toc318581171"/>
      <w:r>
        <w:rPr>
          <w:rFonts w:hint="eastAsia" w:ascii="宋体" w:hAnsi="宋体" w:eastAsia="宋体" w:cs="宋体"/>
          <w:color w:val="000000" w:themeColor="text1"/>
          <w:sz w:val="22"/>
          <w:szCs w:val="22"/>
          <w:highlight w:val="none"/>
          <w14:textFill>
            <w14:solidFill>
              <w14:schemeClr w14:val="tx1"/>
            </w14:solidFill>
          </w14:textFill>
        </w:rPr>
        <w:t>期竣工违约金的上限：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合同结算价格的10% </w:t>
      </w:r>
      <w:r>
        <w:rPr>
          <w:rFonts w:hint="eastAsia" w:ascii="宋体" w:hAnsi="宋体" w:eastAsia="宋体" w:cs="宋体"/>
          <w:color w:val="000000" w:themeColor="text1"/>
          <w:sz w:val="22"/>
          <w:szCs w:val="22"/>
          <w:highlight w:val="none"/>
          <w14:textFill>
            <w14:solidFill>
              <w14:schemeClr w14:val="tx1"/>
            </w14:solidFill>
          </w14:textFill>
        </w:rPr>
        <w:t>。</w:t>
      </w:r>
    </w:p>
    <w:bookmarkEnd w:id="173"/>
    <w:bookmarkEnd w:id="174"/>
    <w:p w14:paraId="769DD94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75" w:name="_Toc304295549"/>
      <w:bookmarkStart w:id="176" w:name="_Toc297216178"/>
      <w:bookmarkStart w:id="177" w:name="_Toc297123519"/>
      <w:bookmarkStart w:id="178" w:name="_Toc303539128"/>
      <w:bookmarkStart w:id="179" w:name="_Toc312678015"/>
      <w:bookmarkStart w:id="180" w:name="_Toc300934971"/>
      <w:r>
        <w:rPr>
          <w:rFonts w:hint="eastAsia" w:ascii="宋体" w:hAnsi="宋体" w:eastAsia="宋体" w:cs="宋体"/>
          <w:color w:val="000000" w:themeColor="text1"/>
          <w:sz w:val="22"/>
          <w:szCs w:val="22"/>
          <w:highlight w:val="none"/>
          <w14:textFill>
            <w14:solidFill>
              <w14:schemeClr w14:val="tx1"/>
            </w14:solidFill>
          </w14:textFill>
        </w:rPr>
        <w:t>.6 不</w:t>
      </w:r>
      <w:bookmarkEnd w:id="175"/>
      <w:bookmarkEnd w:id="176"/>
      <w:bookmarkEnd w:id="177"/>
      <w:bookmarkEnd w:id="178"/>
      <w:bookmarkEnd w:id="179"/>
      <w:bookmarkEnd w:id="180"/>
      <w:r>
        <w:rPr>
          <w:rFonts w:hint="eastAsia" w:ascii="宋体" w:hAnsi="宋体" w:eastAsia="宋体" w:cs="宋体"/>
          <w:color w:val="000000" w:themeColor="text1"/>
          <w:sz w:val="22"/>
          <w:szCs w:val="22"/>
          <w:highlight w:val="none"/>
          <w14:textFill>
            <w14:solidFill>
              <w14:schemeClr w14:val="tx1"/>
            </w14:solidFill>
          </w14:textFill>
        </w:rPr>
        <w:t>利物质条件</w:t>
      </w:r>
    </w:p>
    <w:p w14:paraId="58F5C97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bookmarkStart w:id="181" w:name="_Toc318581172"/>
      <w:bookmarkStart w:id="182" w:name="_Toc297123520"/>
      <w:bookmarkStart w:id="183" w:name="_Toc312678016"/>
      <w:bookmarkStart w:id="184" w:name="_Toc303539129"/>
      <w:bookmarkStart w:id="185" w:name="_Toc297216179"/>
      <w:bookmarkStart w:id="186" w:name="_Toc304295550"/>
      <w:bookmarkStart w:id="187" w:name="_Toc300934972"/>
      <w:r>
        <w:rPr>
          <w:rFonts w:hint="eastAsia" w:ascii="宋体" w:hAnsi="宋体" w:eastAsia="宋体" w:cs="宋体"/>
          <w:color w:val="000000" w:themeColor="text1"/>
          <w:sz w:val="22"/>
          <w:szCs w:val="22"/>
          <w:highlight w:val="none"/>
          <w14:textFill>
            <w14:solidFill>
              <w14:schemeClr w14:val="tx1"/>
            </w14:solidFill>
          </w14:textFill>
        </w:rPr>
        <w:t>不利物质条件的其他情形和有关约定：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地质勘察报告未涉及的地下管道、岩石等障碍物，与不可抗力应有区别 </w:t>
      </w:r>
      <w:r>
        <w:rPr>
          <w:rFonts w:hint="eastAsia" w:ascii="宋体" w:hAnsi="宋体" w:eastAsia="宋体" w:cs="宋体"/>
          <w:color w:val="000000" w:themeColor="text1"/>
          <w:sz w:val="22"/>
          <w:szCs w:val="22"/>
          <w:highlight w:val="none"/>
          <w14:textFill>
            <w14:solidFill>
              <w14:schemeClr w14:val="tx1"/>
            </w14:solidFill>
          </w14:textFill>
        </w:rPr>
        <w:t>。</w:t>
      </w:r>
    </w:p>
    <w:bookmarkEnd w:id="181"/>
    <w:bookmarkEnd w:id="182"/>
    <w:bookmarkEnd w:id="183"/>
    <w:bookmarkEnd w:id="184"/>
    <w:bookmarkEnd w:id="185"/>
    <w:bookmarkEnd w:id="186"/>
    <w:bookmarkEnd w:id="187"/>
    <w:p w14:paraId="7C5CECE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88" w:name="_Toc312678017"/>
      <w:bookmarkStart w:id="189" w:name="_Toc303539130"/>
      <w:bookmarkStart w:id="190" w:name="_Toc297216180"/>
      <w:bookmarkStart w:id="191" w:name="_Toc304295551"/>
      <w:bookmarkStart w:id="192" w:name="_Toc300934973"/>
      <w:bookmarkStart w:id="193" w:name="_Toc297123521"/>
      <w:r>
        <w:rPr>
          <w:rFonts w:hint="eastAsia" w:ascii="宋体" w:hAnsi="宋体" w:eastAsia="宋体" w:cs="宋体"/>
          <w:color w:val="000000" w:themeColor="text1"/>
          <w:sz w:val="22"/>
          <w:szCs w:val="22"/>
          <w:highlight w:val="none"/>
          <w14:textFill>
            <w14:solidFill>
              <w14:schemeClr w14:val="tx1"/>
            </w14:solidFill>
          </w14:textFill>
        </w:rPr>
        <w:t>.7异常恶劣的气候条件</w:t>
      </w:r>
    </w:p>
    <w:bookmarkEnd w:id="188"/>
    <w:bookmarkEnd w:id="189"/>
    <w:bookmarkEnd w:id="190"/>
    <w:bookmarkEnd w:id="191"/>
    <w:bookmarkEnd w:id="192"/>
    <w:bookmarkEnd w:id="193"/>
    <w:p w14:paraId="348A0E1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发包人和承包人同意以下情形视为异常恶劣的气候条件：</w:t>
      </w:r>
    </w:p>
    <w:p w14:paraId="5A59AF8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r>
        <w:rPr>
          <w:rFonts w:hint="eastAsia" w:ascii="宋体" w:hAnsi="宋体" w:eastAsia="宋体" w:cs="宋体"/>
          <w:color w:val="000000" w:themeColor="text1"/>
          <w:sz w:val="22"/>
          <w:szCs w:val="22"/>
          <w:highlight w:val="none"/>
          <w:u w:val="single"/>
          <w14:textFill>
            <w14:solidFill>
              <w14:schemeClr w14:val="tx1"/>
            </w14:solidFill>
          </w14:textFill>
        </w:rPr>
        <w:t xml:space="preserve">持续高温：连续三日日最高气温35℃以上 </w:t>
      </w:r>
      <w:r>
        <w:rPr>
          <w:rFonts w:hint="eastAsia" w:ascii="宋体" w:hAnsi="宋体" w:eastAsia="宋体" w:cs="宋体"/>
          <w:color w:val="000000" w:themeColor="text1"/>
          <w:sz w:val="22"/>
          <w:szCs w:val="22"/>
          <w:highlight w:val="none"/>
          <w14:textFill>
            <w14:solidFill>
              <w14:schemeClr w14:val="tx1"/>
            </w14:solidFill>
          </w14:textFill>
        </w:rPr>
        <w:t>；</w:t>
      </w:r>
    </w:p>
    <w:p w14:paraId="58DA875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w:t>
      </w:r>
      <w:r>
        <w:rPr>
          <w:rFonts w:hint="eastAsia" w:ascii="宋体" w:hAnsi="宋体" w:eastAsia="宋体" w:cs="宋体"/>
          <w:color w:val="000000" w:themeColor="text1"/>
          <w:sz w:val="22"/>
          <w:szCs w:val="22"/>
          <w:highlight w:val="none"/>
          <w:u w:val="single"/>
          <w14:textFill>
            <w14:solidFill>
              <w14:schemeClr w14:val="tx1"/>
            </w14:solidFill>
          </w14:textFill>
        </w:rPr>
        <w:t xml:space="preserve">持续低温：连续三日日最低气温-10℃以下 </w:t>
      </w:r>
      <w:r>
        <w:rPr>
          <w:rFonts w:hint="eastAsia" w:ascii="宋体" w:hAnsi="宋体" w:eastAsia="宋体" w:cs="宋体"/>
          <w:color w:val="000000" w:themeColor="text1"/>
          <w:sz w:val="22"/>
          <w:szCs w:val="22"/>
          <w:highlight w:val="none"/>
          <w14:textFill>
            <w14:solidFill>
              <w14:schemeClr w14:val="tx1"/>
            </w14:solidFill>
          </w14:textFill>
        </w:rPr>
        <w:t>；</w:t>
      </w:r>
    </w:p>
    <w:p w14:paraId="6F617CB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w:t>
      </w:r>
      <w:r>
        <w:rPr>
          <w:rFonts w:hint="eastAsia" w:ascii="宋体" w:hAnsi="宋体" w:eastAsia="宋体" w:cs="宋体"/>
          <w:color w:val="000000" w:themeColor="text1"/>
          <w:sz w:val="22"/>
          <w:szCs w:val="22"/>
          <w:highlight w:val="none"/>
          <w:u w:val="single"/>
          <w14:textFill>
            <w14:solidFill>
              <w14:schemeClr w14:val="tx1"/>
            </w14:solidFill>
          </w14:textFill>
        </w:rPr>
        <w:t>大风天气：施工区域日风力在6级以上且持续时间不少于4小时，或阵风大于8级</w:t>
      </w:r>
      <w:r>
        <w:rPr>
          <w:rFonts w:hint="eastAsia" w:ascii="宋体" w:hAnsi="宋体" w:eastAsia="宋体" w:cs="宋体"/>
          <w:color w:val="000000" w:themeColor="text1"/>
          <w:sz w:val="22"/>
          <w:szCs w:val="22"/>
          <w:highlight w:val="none"/>
          <w14:textFill>
            <w14:solidFill>
              <w14:schemeClr w14:val="tx1"/>
            </w14:solidFill>
          </w14:textFill>
        </w:rPr>
        <w:t>；</w:t>
      </w:r>
    </w:p>
    <w:p w14:paraId="4D7475A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（4）暴雨天气：日降雨量50mm及以上，或降雨强度大于20mm/h。</w:t>
      </w:r>
    </w:p>
    <w:p w14:paraId="1973A5C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7.9 提前竣工的奖励</w:t>
      </w:r>
    </w:p>
    <w:p w14:paraId="17B9DE5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7.9.2提前竣工的奖励：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无     </w:t>
      </w:r>
      <w:r>
        <w:rPr>
          <w:rFonts w:hint="eastAsia" w:ascii="宋体" w:hAnsi="宋体" w:eastAsia="宋体" w:cs="宋体"/>
          <w:color w:val="000000" w:themeColor="text1"/>
          <w:sz w:val="22"/>
          <w:szCs w:val="22"/>
          <w:highlight w:val="none"/>
          <w14:textFill>
            <w14:solidFill>
              <w14:schemeClr w14:val="tx1"/>
            </w14:solidFill>
          </w14:textFill>
        </w:rPr>
        <w:t>。</w:t>
      </w:r>
    </w:p>
    <w:p w14:paraId="4C589BC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94" w:name="_Toc351203640"/>
      <w:r>
        <w:rPr>
          <w:rFonts w:hint="eastAsia" w:ascii="宋体" w:hAnsi="宋体" w:eastAsia="宋体" w:cs="宋体"/>
          <w:color w:val="000000" w:themeColor="text1"/>
          <w:sz w:val="22"/>
          <w:szCs w:val="22"/>
          <w:highlight w:val="none"/>
          <w14:textFill>
            <w14:solidFill>
              <w14:schemeClr w14:val="tx1"/>
            </w14:solidFill>
          </w14:textFill>
        </w:rPr>
        <w:t>8. 材料与设备</w:t>
      </w:r>
      <w:bookmarkEnd w:id="194"/>
    </w:p>
    <w:bookmarkEnd w:id="129"/>
    <w:bookmarkEnd w:id="130"/>
    <w:bookmarkEnd w:id="131"/>
    <w:bookmarkEnd w:id="132"/>
    <w:bookmarkEnd w:id="133"/>
    <w:bookmarkEnd w:id="134"/>
    <w:bookmarkEnd w:id="135"/>
    <w:bookmarkEnd w:id="136"/>
    <w:bookmarkEnd w:id="137"/>
    <w:bookmarkEnd w:id="138"/>
    <w:p w14:paraId="51A8003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w:t>
      </w:r>
      <w:bookmarkStart w:id="195" w:name="_Toc312677493"/>
      <w:bookmarkStart w:id="196" w:name="_Toc312678019"/>
      <w:bookmarkStart w:id="197" w:name="_Toc297216186"/>
      <w:bookmarkStart w:id="198" w:name="_Toc292559877"/>
      <w:bookmarkStart w:id="199" w:name="_Toc297120467"/>
      <w:bookmarkStart w:id="200" w:name="_Toc292559372"/>
      <w:bookmarkStart w:id="201" w:name="_Toc296891207"/>
      <w:bookmarkStart w:id="202" w:name="_Toc304295556"/>
      <w:bookmarkStart w:id="203" w:name="_Toc297048353"/>
      <w:bookmarkStart w:id="204" w:name="_Toc296503167"/>
      <w:bookmarkStart w:id="205" w:name="_Toc297123527"/>
      <w:bookmarkStart w:id="206" w:name="_Toc296944506"/>
      <w:bookmarkStart w:id="207" w:name="_Toc303539136"/>
      <w:bookmarkStart w:id="208" w:name="_Toc296347166"/>
      <w:bookmarkStart w:id="209" w:name="_Toc280868654"/>
      <w:bookmarkStart w:id="210" w:name="_Toc296346668"/>
      <w:bookmarkStart w:id="211" w:name="_Toc300934979"/>
      <w:bookmarkStart w:id="212" w:name="_Toc296890995"/>
      <w:bookmarkStart w:id="213" w:name="_Toc280868656"/>
      <w:bookmarkStart w:id="214" w:name="_Toc267251424"/>
      <w:bookmarkStart w:id="215" w:name="_Toc280868655"/>
      <w:r>
        <w:rPr>
          <w:rFonts w:hint="eastAsia" w:ascii="宋体" w:hAnsi="宋体" w:eastAsia="宋体" w:cs="宋体"/>
          <w:color w:val="000000" w:themeColor="text1"/>
          <w:sz w:val="22"/>
          <w:szCs w:val="22"/>
          <w:highlight w:val="none"/>
          <w14:textFill>
            <w14:solidFill>
              <w14:schemeClr w14:val="tx1"/>
            </w14:solidFill>
          </w14:textFill>
        </w:rPr>
        <w:t>.4材料与工程设备的保管与使用</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067396C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w:t>
      </w:r>
      <w:bookmarkStart w:id="216" w:name="_Toc292559373"/>
      <w:bookmarkStart w:id="217" w:name="_Toc292559878"/>
      <w:bookmarkStart w:id="218" w:name="_Toc300934980"/>
      <w:bookmarkStart w:id="219" w:name="_Toc296347167"/>
      <w:bookmarkStart w:id="220" w:name="_Toc296346669"/>
      <w:bookmarkStart w:id="221" w:name="_Toc297048354"/>
      <w:bookmarkStart w:id="222" w:name="_Toc312678020"/>
      <w:bookmarkStart w:id="223" w:name="_Toc296944507"/>
      <w:bookmarkStart w:id="224" w:name="_Toc297120468"/>
      <w:bookmarkStart w:id="225" w:name="_Toc297216187"/>
      <w:bookmarkStart w:id="226" w:name="_Toc296503168"/>
      <w:bookmarkStart w:id="227" w:name="_Toc303539137"/>
      <w:bookmarkStart w:id="228" w:name="_Toc296890996"/>
      <w:bookmarkStart w:id="229" w:name="_Toc296891208"/>
      <w:bookmarkStart w:id="230" w:name="_Toc297123528"/>
      <w:bookmarkStart w:id="231" w:name="_Toc318581173"/>
      <w:bookmarkStart w:id="232" w:name="_Toc304295557"/>
      <w:bookmarkStart w:id="233" w:name="_Toc312677494"/>
      <w:r>
        <w:rPr>
          <w:rFonts w:hint="eastAsia" w:ascii="宋体" w:hAnsi="宋体" w:eastAsia="宋体" w:cs="宋体"/>
          <w:color w:val="000000" w:themeColor="text1"/>
          <w:sz w:val="22"/>
          <w:szCs w:val="22"/>
          <w:highlight w:val="none"/>
          <w14:textFill>
            <w14:solidFill>
              <w14:schemeClr w14:val="tx1"/>
            </w14:solidFill>
          </w14:textFill>
        </w:rPr>
        <w:t>.4.1发包人供应的材料设备的保管费用的承担：</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由发包人承担，并按发包人供应材料设备价格的1%计取</w:t>
      </w:r>
      <w:r>
        <w:rPr>
          <w:rFonts w:hint="eastAsia" w:ascii="宋体" w:hAnsi="宋体" w:eastAsia="宋体" w:cs="宋体"/>
          <w:color w:val="000000" w:themeColor="text1"/>
          <w:sz w:val="22"/>
          <w:szCs w:val="22"/>
          <w:highlight w:val="none"/>
          <w14:textFill>
            <w14:solidFill>
              <w14:schemeClr w14:val="tx1"/>
            </w14:solidFill>
          </w14:textFill>
        </w:rPr>
        <w:t>。</w:t>
      </w:r>
      <w:bookmarkEnd w:id="216"/>
      <w:bookmarkEnd w:id="217"/>
    </w:p>
    <w:p w14:paraId="40E3EE54">
      <w:pPr>
        <w:pageBreakBefore w:val="0"/>
        <w:suppressAutoHyphens/>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除工程量清单中确定的《其他项目清单计价与汇总表》中的“暂估价”的材料外，其它材料均由承包人自行组织采购。凡由承包人采购的材料（有技术参数的，其技术参数不得低于招标文件及图纸、工程量清单的要求），承包人应按照设计要求、技术标准及招标文件的约定采购符合上述要求的材料。并向发包人提供质量保证书、出厂合格证及现场抽样检测报告等证明材料，对材料质量负责。如不符合质量及技术标准要求或规格有差异的，承包人应按发包人要求的时间将不符合要求的材料运出施工场地，重新采购符合要求的材料。若已使用，由承包人负责整改处理，确保达到要求的质量目标。因使用不符合要求的材料对工程造成的损失由承包人负责，由此延误的工期不予顺延，给发包人造成实际损失的还将承担经济赔偿责任。</w:t>
      </w:r>
    </w:p>
    <w:p w14:paraId="5C4E96A5">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8.6 样品</w:t>
      </w:r>
    </w:p>
    <w:p w14:paraId="34B75D95">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8.6.1</w:t>
      </w:r>
      <w:r>
        <w:rPr>
          <w:rFonts w:hint="eastAsia" w:ascii="宋体" w:hAnsi="宋体" w:eastAsia="宋体" w:cs="宋体"/>
          <w:color w:val="000000" w:themeColor="text1"/>
          <w:sz w:val="22"/>
          <w:szCs w:val="22"/>
          <w:highlight w:val="none"/>
          <w14:textFill>
            <w14:solidFill>
              <w14:schemeClr w14:val="tx1"/>
            </w14:solidFill>
          </w14:textFill>
        </w:rPr>
        <w:tab/>
      </w:r>
      <w:r>
        <w:rPr>
          <w:rFonts w:hint="eastAsia" w:ascii="宋体" w:hAnsi="宋体" w:eastAsia="宋体" w:cs="宋体"/>
          <w:color w:val="000000" w:themeColor="text1"/>
          <w:sz w:val="22"/>
          <w:szCs w:val="22"/>
          <w:highlight w:val="none"/>
          <w14:textFill>
            <w14:solidFill>
              <w14:schemeClr w14:val="tx1"/>
            </w14:solidFill>
          </w14:textFill>
        </w:rPr>
        <w:t>样品的报送与封存</w:t>
      </w:r>
    </w:p>
    <w:p w14:paraId="206FED4D">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需要承包人报送样品的材料或工程设备，样品的种类、名称、规格、数量要求：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按招标文件执行 </w:t>
      </w:r>
      <w:r>
        <w:rPr>
          <w:rFonts w:hint="eastAsia" w:ascii="宋体" w:hAnsi="宋体" w:eastAsia="宋体" w:cs="宋体"/>
          <w:color w:val="000000" w:themeColor="text1"/>
          <w:sz w:val="22"/>
          <w:szCs w:val="22"/>
          <w:highlight w:val="none"/>
          <w14:textFill>
            <w14:solidFill>
              <w14:schemeClr w14:val="tx1"/>
            </w14:solidFill>
          </w14:textFill>
        </w:rPr>
        <w:t>。</w:t>
      </w:r>
    </w:p>
    <w:p w14:paraId="4F6C4F44">
      <w:pPr>
        <w:pageBreakBefore w:val="0"/>
        <w:suppressAutoHyphens/>
        <w:kinsoku/>
        <w:wordWrap/>
        <w:overflowPunct/>
        <w:topLinePunct w:val="0"/>
        <w:bidi w:val="0"/>
        <w:snapToGrid/>
        <w:spacing w:line="400" w:lineRule="exact"/>
        <w:ind w:firstLine="440" w:firstLineChars="200"/>
        <w:textAlignment w:val="baseline"/>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8.6.1.1</w:t>
      </w:r>
      <w:r>
        <w:rPr>
          <w:rFonts w:hint="eastAsia" w:ascii="宋体" w:hAnsi="宋体" w:eastAsia="宋体" w:cs="宋体"/>
          <w:color w:val="000000" w:themeColor="text1"/>
          <w:sz w:val="22"/>
          <w:szCs w:val="22"/>
          <w:highlight w:val="none"/>
          <w:u w:val="single"/>
          <w14:textFill>
            <w14:solidFill>
              <w14:schemeClr w14:val="tx1"/>
            </w14:solidFill>
          </w14:textFill>
        </w:rPr>
        <w:t>承包人在材料使用前，须向监理报验，并见证抽样送检。未经确认的材料，不得用于工程，发包人抽查发现使用的材料无报验手续或不合格，可指令停工，要求返工。所发生的费用由承包人承担，工期不予顺延。</w:t>
      </w:r>
    </w:p>
    <w:p w14:paraId="589C5003">
      <w:pPr>
        <w:pageBreakBefore w:val="0"/>
        <w:suppressAutoHyphens/>
        <w:kinsoku/>
        <w:wordWrap/>
        <w:overflowPunct/>
        <w:topLinePunct w:val="0"/>
        <w:bidi w:val="0"/>
        <w:snapToGrid/>
        <w:spacing w:line="400" w:lineRule="exact"/>
        <w:ind w:firstLine="440" w:firstLineChars="200"/>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lang w:val="zh-CN"/>
          <w14:textFill>
            <w14:solidFill>
              <w14:schemeClr w14:val="tx1"/>
            </w14:solidFill>
          </w14:textFill>
        </w:rPr>
        <w:t xml:space="preserve">8.6.1.2 </w:t>
      </w:r>
      <w:r>
        <w:rPr>
          <w:rFonts w:hint="eastAsia" w:ascii="宋体" w:hAnsi="宋体" w:eastAsia="宋体" w:cs="宋体"/>
          <w:bCs/>
          <w:color w:val="000000" w:themeColor="text1"/>
          <w:sz w:val="22"/>
          <w:szCs w:val="22"/>
          <w:highlight w:val="none"/>
          <w:u w:val="single"/>
          <w:lang w:val="zh-CN"/>
          <w14:textFill>
            <w14:solidFill>
              <w14:schemeClr w14:val="tx1"/>
            </w14:solidFill>
          </w14:textFill>
        </w:rPr>
        <w:t>本工程的所有材料，均由承包人按设计文件及规范要求自行采购和保管，使用前，要有质保书或出厂合格证，并进行有关必要的检验或试验，合格后方可使用。承包人必须在监理人现场见证的情况下取样、封样和送样，样品须送至发包人指定的试验检测机构进行检测，否则不予认可。试验合格的，检验或试验费用由发包人承担，试验不合格的，检验或试验费用由承包人承担。</w:t>
      </w:r>
    </w:p>
    <w:p w14:paraId="7845AE4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8.8 施工设备和临时设施</w:t>
      </w:r>
    </w:p>
    <w:p w14:paraId="2F4EE15D">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8.8.1 承包人提供的施工设备和临时设施</w:t>
      </w:r>
    </w:p>
    <w:p w14:paraId="7A26F59E">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关于修建临时设施费用承担的约定：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费用由承包人承担 ，已包含在合同价款中 </w:t>
      </w:r>
      <w:r>
        <w:rPr>
          <w:rFonts w:hint="eastAsia" w:ascii="宋体" w:hAnsi="宋体" w:eastAsia="宋体" w:cs="宋体"/>
          <w:color w:val="000000" w:themeColor="text1"/>
          <w:sz w:val="22"/>
          <w:szCs w:val="22"/>
          <w:highlight w:val="none"/>
          <w14:textFill>
            <w14:solidFill>
              <w14:schemeClr w14:val="tx1"/>
            </w14:solidFill>
          </w14:textFill>
        </w:rPr>
        <w:t>。</w:t>
      </w: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14:paraId="7411D8E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234" w:name="_Toc351203641"/>
      <w:r>
        <w:rPr>
          <w:rFonts w:hint="eastAsia" w:ascii="宋体" w:hAnsi="宋体" w:eastAsia="宋体" w:cs="宋体"/>
          <w:color w:val="000000" w:themeColor="text1"/>
          <w:sz w:val="22"/>
          <w:szCs w:val="22"/>
          <w:highlight w:val="none"/>
          <w14:textFill>
            <w14:solidFill>
              <w14:schemeClr w14:val="tx1"/>
            </w14:solidFill>
          </w14:textFill>
        </w:rPr>
        <w:t>9</w:t>
      </w:r>
      <w:bookmarkEnd w:id="213"/>
      <w:bookmarkEnd w:id="214"/>
      <w:bookmarkEnd w:id="215"/>
      <w:bookmarkStart w:id="235" w:name="_Toc300934982"/>
      <w:bookmarkStart w:id="236" w:name="_Toc297123533"/>
      <w:bookmarkStart w:id="237" w:name="_Toc304295559"/>
      <w:bookmarkStart w:id="238" w:name="_Toc297216192"/>
      <w:bookmarkStart w:id="239" w:name="_Toc312677495"/>
      <w:bookmarkStart w:id="240" w:name="_Toc312678021"/>
      <w:bookmarkStart w:id="241" w:name="_Toc303539139"/>
      <w:bookmarkStart w:id="242" w:name="_Toc296347172"/>
      <w:bookmarkStart w:id="243" w:name="_Toc297120473"/>
      <w:bookmarkStart w:id="244" w:name="_Toc292559883"/>
      <w:bookmarkStart w:id="245" w:name="_Toc296944512"/>
      <w:bookmarkStart w:id="246" w:name="_Toc296503173"/>
      <w:bookmarkStart w:id="247" w:name="_Toc292559378"/>
      <w:bookmarkStart w:id="248" w:name="_Toc296891213"/>
      <w:bookmarkStart w:id="249" w:name="_Toc267251427"/>
      <w:bookmarkStart w:id="250" w:name="_Toc297048359"/>
      <w:bookmarkStart w:id="251" w:name="_Toc267251428"/>
      <w:bookmarkStart w:id="252" w:name="_Toc296346674"/>
      <w:bookmarkStart w:id="253" w:name="_Toc296891001"/>
      <w:r>
        <w:rPr>
          <w:rFonts w:hint="eastAsia" w:ascii="宋体" w:hAnsi="宋体" w:eastAsia="宋体" w:cs="宋体"/>
          <w:color w:val="000000" w:themeColor="text1"/>
          <w:sz w:val="22"/>
          <w:szCs w:val="22"/>
          <w:highlight w:val="none"/>
          <w14:textFill>
            <w14:solidFill>
              <w14:schemeClr w14:val="tx1"/>
            </w14:solidFill>
          </w14:textFill>
        </w:rPr>
        <w:t>. 试验与检验</w:t>
      </w:r>
      <w:bookmarkEnd w:id="234"/>
    </w:p>
    <w:bookmarkEnd w:id="235"/>
    <w:bookmarkEnd w:id="236"/>
    <w:bookmarkEnd w:id="237"/>
    <w:bookmarkEnd w:id="238"/>
    <w:bookmarkEnd w:id="239"/>
    <w:bookmarkEnd w:id="240"/>
    <w:bookmarkEnd w:id="241"/>
    <w:p w14:paraId="2AA27EA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w:t>
      </w:r>
      <w:bookmarkStart w:id="254" w:name="_Toc300934983"/>
      <w:bookmarkStart w:id="255" w:name="_Toc297123534"/>
      <w:bookmarkStart w:id="256" w:name="_Toc303539140"/>
      <w:bookmarkStart w:id="257" w:name="_Toc312678022"/>
      <w:bookmarkStart w:id="258" w:name="_Toc304295560"/>
      <w:bookmarkStart w:id="259" w:name="_Toc312677496"/>
      <w:bookmarkStart w:id="260" w:name="_Toc297216193"/>
      <w:r>
        <w:rPr>
          <w:rFonts w:hint="eastAsia" w:ascii="宋体" w:hAnsi="宋体" w:eastAsia="宋体" w:cs="宋体"/>
          <w:color w:val="000000" w:themeColor="text1"/>
          <w:sz w:val="22"/>
          <w:szCs w:val="22"/>
          <w:highlight w:val="none"/>
          <w14:textFill>
            <w14:solidFill>
              <w14:schemeClr w14:val="tx1"/>
            </w14:solidFill>
          </w14:textFill>
        </w:rPr>
        <w:t>.1试验设备与试验人员</w:t>
      </w:r>
    </w:p>
    <w:bookmarkEnd w:id="254"/>
    <w:bookmarkEnd w:id="255"/>
    <w:bookmarkEnd w:id="256"/>
    <w:bookmarkEnd w:id="257"/>
    <w:bookmarkEnd w:id="258"/>
    <w:bookmarkEnd w:id="259"/>
    <w:bookmarkEnd w:id="260"/>
    <w:p w14:paraId="4DD2D4E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w:t>
      </w:r>
      <w:bookmarkStart w:id="261" w:name="_Toc297123535"/>
      <w:bookmarkStart w:id="262" w:name="_Toc312678023"/>
      <w:bookmarkStart w:id="263" w:name="_Toc304295561"/>
      <w:bookmarkStart w:id="264" w:name="_Toc312677497"/>
      <w:bookmarkStart w:id="265" w:name="_Toc303539141"/>
      <w:bookmarkStart w:id="266" w:name="_Toc300934984"/>
      <w:bookmarkStart w:id="267" w:name="_Toc297216194"/>
      <w:bookmarkStart w:id="268" w:name="_Toc318581174"/>
      <w:r>
        <w:rPr>
          <w:rFonts w:hint="eastAsia" w:ascii="宋体" w:hAnsi="宋体" w:eastAsia="宋体" w:cs="宋体"/>
          <w:color w:val="000000" w:themeColor="text1"/>
          <w:sz w:val="22"/>
          <w:szCs w:val="22"/>
          <w:highlight w:val="none"/>
          <w14:textFill>
            <w14:solidFill>
              <w14:schemeClr w14:val="tx1"/>
            </w14:solidFill>
          </w14:textFill>
        </w:rPr>
        <w:t>.1.2 试验设备</w:t>
      </w:r>
    </w:p>
    <w:p w14:paraId="1994571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施工现场需要配置的试验场所：</w:t>
      </w:r>
      <w:bookmarkEnd w:id="261"/>
      <w:bookmarkEnd w:id="262"/>
      <w:bookmarkEnd w:id="263"/>
      <w:bookmarkEnd w:id="264"/>
      <w:bookmarkEnd w:id="265"/>
      <w:bookmarkEnd w:id="266"/>
      <w:bookmarkEnd w:id="267"/>
      <w:bookmarkStart w:id="269" w:name="_Toc300934985"/>
      <w:bookmarkStart w:id="270" w:name="_Toc303539142"/>
      <w:bookmarkStart w:id="271" w:name="_Toc304295562"/>
      <w:bookmarkStart w:id="272" w:name="_Toc297216195"/>
      <w:bookmarkStart w:id="273" w:name="_Toc312678024"/>
      <w:bookmarkStart w:id="274" w:name="_Toc297123536"/>
      <w:bookmarkStart w:id="275" w:name="_Toc312677498"/>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FC4A0A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施工现场需要配备的试验设备：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  </w:t>
      </w:r>
      <w:r>
        <w:rPr>
          <w:rFonts w:hint="eastAsia" w:ascii="宋体" w:hAnsi="宋体" w:eastAsia="宋体" w:cs="宋体"/>
          <w:color w:val="000000" w:themeColor="text1"/>
          <w:sz w:val="22"/>
          <w:szCs w:val="22"/>
          <w:highlight w:val="none"/>
          <w14:textFill>
            <w14:solidFill>
              <w14:schemeClr w14:val="tx1"/>
            </w14:solidFill>
          </w14:textFill>
        </w:rPr>
        <w:t>。</w:t>
      </w:r>
    </w:p>
    <w:p w14:paraId="57EFCC5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施工现场需要具备的其他试验条件：</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   </w:t>
      </w:r>
      <w:r>
        <w:rPr>
          <w:rFonts w:hint="eastAsia" w:ascii="宋体" w:hAnsi="宋体" w:eastAsia="宋体" w:cs="宋体"/>
          <w:color w:val="000000" w:themeColor="text1"/>
          <w:sz w:val="22"/>
          <w:szCs w:val="22"/>
          <w:highlight w:val="none"/>
          <w14:textFill>
            <w14:solidFill>
              <w14:schemeClr w14:val="tx1"/>
            </w14:solidFill>
          </w14:textFill>
        </w:rPr>
        <w:t>。</w:t>
      </w:r>
    </w:p>
    <w:p w14:paraId="059BA0B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9.4 现场工艺试验</w:t>
      </w:r>
    </w:p>
    <w:p w14:paraId="56804C0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现场工艺试验的有关约定：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执行通用条款  </w:t>
      </w:r>
      <w:r>
        <w:rPr>
          <w:rFonts w:hint="eastAsia" w:ascii="宋体" w:hAnsi="宋体" w:eastAsia="宋体" w:cs="宋体"/>
          <w:color w:val="000000" w:themeColor="text1"/>
          <w:sz w:val="22"/>
          <w:szCs w:val="22"/>
          <w:highlight w:val="none"/>
          <w14:textFill>
            <w14:solidFill>
              <w14:schemeClr w14:val="tx1"/>
            </w14:solidFill>
          </w14:textFill>
        </w:rPr>
        <w:t>。</w:t>
      </w:r>
    </w:p>
    <w:bookmarkEnd w:id="268"/>
    <w:bookmarkEnd w:id="269"/>
    <w:bookmarkEnd w:id="270"/>
    <w:bookmarkEnd w:id="271"/>
    <w:bookmarkEnd w:id="272"/>
    <w:bookmarkEnd w:id="273"/>
    <w:bookmarkEnd w:id="274"/>
    <w:bookmarkEnd w:id="275"/>
    <w:p w14:paraId="0709668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276" w:name="_Toc351203642"/>
      <w:r>
        <w:rPr>
          <w:rFonts w:hint="eastAsia" w:ascii="宋体" w:hAnsi="宋体" w:eastAsia="宋体" w:cs="宋体"/>
          <w:color w:val="000000" w:themeColor="text1"/>
          <w:sz w:val="22"/>
          <w:szCs w:val="22"/>
          <w:highlight w:val="none"/>
          <w14:textFill>
            <w14:solidFill>
              <w14:schemeClr w14:val="tx1"/>
            </w14:solidFill>
          </w14:textFill>
        </w:rPr>
        <w:t>1</w:t>
      </w:r>
      <w:bookmarkEnd w:id="242"/>
      <w:bookmarkEnd w:id="243"/>
      <w:bookmarkEnd w:id="244"/>
      <w:bookmarkEnd w:id="245"/>
      <w:bookmarkEnd w:id="246"/>
      <w:bookmarkEnd w:id="247"/>
      <w:bookmarkEnd w:id="248"/>
      <w:bookmarkEnd w:id="249"/>
      <w:bookmarkEnd w:id="250"/>
      <w:bookmarkEnd w:id="251"/>
      <w:bookmarkEnd w:id="252"/>
      <w:bookmarkEnd w:id="253"/>
      <w:bookmarkStart w:id="277" w:name="_Toc292559903"/>
      <w:bookmarkStart w:id="278" w:name="_Toc296944532"/>
      <w:bookmarkStart w:id="279" w:name="_Toc296503193"/>
      <w:bookmarkStart w:id="280" w:name="_Toc297123540"/>
      <w:bookmarkStart w:id="281" w:name="_Toc297048379"/>
      <w:bookmarkStart w:id="282" w:name="_Toc304295566"/>
      <w:bookmarkStart w:id="283" w:name="_Toc303539146"/>
      <w:bookmarkStart w:id="284" w:name="_Toc296891021"/>
      <w:bookmarkStart w:id="285" w:name="_Toc296347192"/>
      <w:bookmarkStart w:id="286" w:name="_Toc296346694"/>
      <w:bookmarkStart w:id="287" w:name="_Toc292559398"/>
      <w:bookmarkStart w:id="288" w:name="_Toc296891233"/>
      <w:bookmarkStart w:id="289" w:name="_Toc300934989"/>
      <w:bookmarkStart w:id="290" w:name="_Toc297120493"/>
      <w:bookmarkStart w:id="291" w:name="_Toc297216199"/>
      <w:bookmarkStart w:id="292" w:name="_Toc312677499"/>
      <w:bookmarkStart w:id="293" w:name="_Toc312678025"/>
      <w:bookmarkStart w:id="294" w:name="_Toc267251433"/>
      <w:bookmarkStart w:id="295" w:name="_Toc267251441"/>
      <w:bookmarkStart w:id="296" w:name="_Toc267251440"/>
      <w:bookmarkStart w:id="297" w:name="_Toc267251437"/>
      <w:bookmarkStart w:id="298" w:name="_Toc267251439"/>
      <w:bookmarkStart w:id="299" w:name="_Toc267251435"/>
      <w:bookmarkStart w:id="300" w:name="_Toc267251442"/>
      <w:r>
        <w:rPr>
          <w:rFonts w:hint="eastAsia" w:ascii="宋体" w:hAnsi="宋体" w:eastAsia="宋体" w:cs="宋体"/>
          <w:color w:val="000000" w:themeColor="text1"/>
          <w:sz w:val="22"/>
          <w:szCs w:val="22"/>
          <w:highlight w:val="none"/>
          <w14:textFill>
            <w14:solidFill>
              <w14:schemeClr w14:val="tx1"/>
            </w14:solidFill>
          </w14:textFill>
        </w:rPr>
        <w:t>0. 变更</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63D0217E">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01" w:name="_Toc303539147"/>
      <w:bookmarkStart w:id="302" w:name="_Toc292559904"/>
      <w:bookmarkStart w:id="303" w:name="_Toc296347193"/>
      <w:bookmarkStart w:id="304" w:name="_Toc296944533"/>
      <w:bookmarkStart w:id="305" w:name="_Toc304295567"/>
      <w:bookmarkStart w:id="306" w:name="_Toc296346695"/>
      <w:bookmarkStart w:id="307" w:name="_Toc297123541"/>
      <w:bookmarkStart w:id="308" w:name="_Toc297216200"/>
      <w:bookmarkStart w:id="309" w:name="_Toc296891234"/>
      <w:bookmarkStart w:id="310" w:name="_Toc312677500"/>
      <w:bookmarkStart w:id="311" w:name="_Toc292559399"/>
      <w:bookmarkStart w:id="312" w:name="_Toc312678026"/>
      <w:bookmarkStart w:id="313" w:name="_Toc297120494"/>
      <w:bookmarkStart w:id="314" w:name="_Toc297048380"/>
      <w:bookmarkStart w:id="315" w:name="_Toc296891022"/>
      <w:bookmarkStart w:id="316" w:name="_Toc300934990"/>
      <w:bookmarkStart w:id="317" w:name="_Toc296503194"/>
      <w:r>
        <w:rPr>
          <w:rFonts w:hint="eastAsia" w:ascii="宋体" w:hAnsi="宋体" w:eastAsia="宋体" w:cs="宋体"/>
          <w:color w:val="000000" w:themeColor="text1"/>
          <w:sz w:val="22"/>
          <w:szCs w:val="22"/>
          <w:highlight w:val="none"/>
          <w14:textFill>
            <w14:solidFill>
              <w14:schemeClr w14:val="tx1"/>
            </w14:solidFill>
          </w14:textFill>
        </w:rPr>
        <w:t>0.1变更的范围</w:t>
      </w:r>
    </w:p>
    <w:p w14:paraId="7B0CD3B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关于变更的范围的约定：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分部分项工程量清单漏项或非承包人原因的工程变更（含设计变更） </w:t>
      </w:r>
      <w:r>
        <w:rPr>
          <w:rFonts w:hint="eastAsia" w:ascii="宋体" w:hAnsi="宋体" w:eastAsia="宋体" w:cs="宋体"/>
          <w:color w:val="000000" w:themeColor="text1"/>
          <w:sz w:val="22"/>
          <w:szCs w:val="22"/>
          <w:highlight w:val="none"/>
          <w14:textFill>
            <w14:solidFill>
              <w14:schemeClr w14:val="tx1"/>
            </w14:solidFill>
          </w14:textFill>
        </w:rPr>
        <w:t>。</w:t>
      </w:r>
    </w:p>
    <w:p w14:paraId="774EC69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10.4 变更估价</w:t>
      </w:r>
    </w:p>
    <w:p w14:paraId="494C41C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10.4.1 变更估价原则</w:t>
      </w:r>
    </w:p>
    <w:p w14:paraId="7621DA6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关于变更估价的约定: </w:t>
      </w:r>
    </w:p>
    <w:p w14:paraId="5140471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1、承包人必须无条件服从发包人对工程的设计变更，不得以因发包人设计变更减少了工程利润为由要挟发包人追加其它费用。设计变更按发包人书面签证确认为准。</w:t>
      </w:r>
    </w:p>
    <w:p w14:paraId="2D6F8DD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2、合同中已有适用的综合单价，按合同中已有的综合单价确定；合同中有类似的综合单价，参照类似的综合单价确定；合同中没有适用或类似的综合单价，其相应综合单价由承包人依据招标文件约定的招标预算价计价方式及标准提出，经发包人确认后作为结算依据（该综合单价的下浮率按照中标时的下浮率执行）。</w:t>
      </w:r>
    </w:p>
    <w:p w14:paraId="2DA09C9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6503197"/>
      <w:bookmarkStart w:id="319" w:name="_Toc292559402"/>
      <w:bookmarkStart w:id="320" w:name="_Toc297123544"/>
      <w:bookmarkStart w:id="321" w:name="_Toc297048383"/>
      <w:bookmarkStart w:id="322" w:name="_Toc296944536"/>
      <w:bookmarkStart w:id="323" w:name="_Toc296347196"/>
      <w:bookmarkStart w:id="324" w:name="_Toc300934993"/>
      <w:bookmarkStart w:id="325" w:name="_Toc303539150"/>
      <w:bookmarkStart w:id="326" w:name="_Toc297216203"/>
      <w:bookmarkStart w:id="327" w:name="_Toc297120497"/>
      <w:bookmarkStart w:id="328" w:name="_Toc296346698"/>
      <w:bookmarkStart w:id="329" w:name="_Toc292559907"/>
      <w:bookmarkStart w:id="330" w:name="_Toc296891237"/>
      <w:bookmarkStart w:id="331" w:name="_Toc296891025"/>
      <w:bookmarkStart w:id="332" w:name="_Toc312678029"/>
      <w:bookmarkStart w:id="333" w:name="_Toc304295570"/>
      <w:bookmarkStart w:id="334" w:name="_Toc312677503"/>
      <w:r>
        <w:rPr>
          <w:rFonts w:hint="eastAsia" w:ascii="宋体" w:hAnsi="宋体" w:eastAsia="宋体" w:cs="宋体"/>
          <w:color w:val="000000" w:themeColor="text1"/>
          <w:sz w:val="22"/>
          <w:szCs w:val="22"/>
          <w:highlight w:val="none"/>
          <w14:textFill>
            <w14:solidFill>
              <w14:schemeClr w14:val="tx1"/>
            </w14:solidFill>
          </w14:textFill>
        </w:rPr>
        <w:t>0.5承</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297120503"/>
      <w:bookmarkStart w:id="336" w:name="_Toc297048389"/>
      <w:bookmarkStart w:id="337" w:name="_Toc303539151"/>
      <w:bookmarkStart w:id="338" w:name="_Toc296891243"/>
      <w:bookmarkStart w:id="339" w:name="_Toc297123545"/>
      <w:bookmarkStart w:id="340" w:name="_Toc296891031"/>
      <w:bookmarkStart w:id="341" w:name="_Toc300934994"/>
      <w:bookmarkStart w:id="342" w:name="_Toc296503203"/>
      <w:bookmarkStart w:id="343" w:name="_Toc296944542"/>
      <w:bookmarkStart w:id="344" w:name="_Toc292559408"/>
      <w:bookmarkStart w:id="345" w:name="_Toc296347202"/>
      <w:bookmarkStart w:id="346" w:name="_Toc297216204"/>
      <w:bookmarkStart w:id="347" w:name="_Toc292559913"/>
      <w:bookmarkStart w:id="348" w:name="_Toc296346704"/>
      <w:r>
        <w:rPr>
          <w:rFonts w:hint="eastAsia" w:ascii="宋体" w:hAnsi="宋体" w:eastAsia="宋体" w:cs="宋体"/>
          <w:color w:val="000000" w:themeColor="text1"/>
          <w:sz w:val="22"/>
          <w:szCs w:val="22"/>
          <w:highlight w:val="none"/>
          <w14:textFill>
            <w14:solidFill>
              <w14:schemeClr w14:val="tx1"/>
            </w14:solidFill>
          </w14:textFill>
        </w:rPr>
        <w:t>包人的合理化建议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321C7D5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监理人审查承包人合理化建议的期限：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     </w:t>
      </w:r>
      <w:r>
        <w:rPr>
          <w:rFonts w:hint="eastAsia" w:ascii="宋体" w:hAnsi="宋体" w:eastAsia="宋体" w:cs="宋体"/>
          <w:color w:val="000000" w:themeColor="text1"/>
          <w:sz w:val="22"/>
          <w:szCs w:val="22"/>
          <w:highlight w:val="none"/>
          <w14:textFill>
            <w14:solidFill>
              <w14:schemeClr w14:val="tx1"/>
            </w14:solidFill>
          </w14:textFill>
        </w:rPr>
        <w:t>。</w:t>
      </w:r>
    </w:p>
    <w:p w14:paraId="4AA90C3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发包人审批承包人合理化建议的期限：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     </w:t>
      </w:r>
      <w:r>
        <w:rPr>
          <w:rFonts w:hint="eastAsia" w:ascii="宋体" w:hAnsi="宋体" w:eastAsia="宋体" w:cs="宋体"/>
          <w:color w:val="000000" w:themeColor="text1"/>
          <w:sz w:val="22"/>
          <w:szCs w:val="22"/>
          <w:highlight w:val="none"/>
          <w14:textFill>
            <w14:solidFill>
              <w14:schemeClr w14:val="tx1"/>
            </w14:solidFill>
          </w14:textFill>
        </w:rPr>
        <w:t>。</w:t>
      </w:r>
    </w:p>
    <w:p w14:paraId="50AE284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w:t>
      </w:r>
      <w:bookmarkStart w:id="349" w:name="_Toc296346705"/>
      <w:bookmarkStart w:id="350" w:name="_Toc296347203"/>
      <w:bookmarkStart w:id="351" w:name="_Toc296503204"/>
      <w:bookmarkStart w:id="352" w:name="_Toc297048390"/>
      <w:bookmarkStart w:id="353" w:name="_Toc300934995"/>
      <w:bookmarkStart w:id="354" w:name="_Toc318581175"/>
      <w:bookmarkStart w:id="355" w:name="_Toc296891244"/>
      <w:bookmarkStart w:id="356" w:name="_Toc292559409"/>
      <w:bookmarkStart w:id="357" w:name="_Toc292559914"/>
      <w:bookmarkStart w:id="358" w:name="_Toc303539152"/>
      <w:bookmarkStart w:id="359" w:name="_Toc296944543"/>
      <w:bookmarkStart w:id="360" w:name="_Toc297120504"/>
      <w:bookmarkStart w:id="361" w:name="_Toc304295571"/>
      <w:bookmarkStart w:id="362" w:name="_Toc296891032"/>
      <w:bookmarkStart w:id="363" w:name="_Toc312678030"/>
      <w:bookmarkStart w:id="364" w:name="_Toc297216205"/>
      <w:bookmarkStart w:id="365" w:name="_Toc312677504"/>
      <w:bookmarkStart w:id="366" w:name="_Toc297123546"/>
      <w:r>
        <w:rPr>
          <w:rFonts w:hint="eastAsia" w:ascii="宋体" w:hAnsi="宋体" w:eastAsia="宋体" w:cs="宋体"/>
          <w:color w:val="000000" w:themeColor="text1"/>
          <w:sz w:val="22"/>
          <w:szCs w:val="22"/>
          <w:highlight w:val="none"/>
          <w14:textFill>
            <w14:solidFill>
              <w14:schemeClr w14:val="tx1"/>
            </w14:solidFill>
          </w14:textFill>
        </w:rPr>
        <w:t>包人提出的合理化建议降低了合同价格或者提高了工程经济效益的奖励的方法和金额为：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（由双方商定）。</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185890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67" w:name="_Toc304295574"/>
      <w:bookmarkStart w:id="368" w:name="_Toc300934997"/>
      <w:bookmarkStart w:id="369" w:name="_Toc296346700"/>
      <w:bookmarkStart w:id="370" w:name="_Toc297120499"/>
      <w:bookmarkStart w:id="371" w:name="_Toc297048385"/>
      <w:bookmarkStart w:id="372" w:name="_Toc296347198"/>
      <w:bookmarkStart w:id="373" w:name="_Toc312678033"/>
      <w:bookmarkStart w:id="374" w:name="_Toc296503199"/>
      <w:bookmarkStart w:id="375" w:name="_Toc292559909"/>
      <w:bookmarkStart w:id="376" w:name="_Toc292559404"/>
      <w:bookmarkStart w:id="377" w:name="_Toc312677507"/>
      <w:bookmarkStart w:id="378" w:name="_Toc303539154"/>
      <w:bookmarkStart w:id="379" w:name="_Toc297216207"/>
      <w:bookmarkStart w:id="380" w:name="_Toc297123548"/>
      <w:bookmarkStart w:id="381" w:name="_Toc296891027"/>
      <w:bookmarkStart w:id="382" w:name="_Toc296891239"/>
      <w:bookmarkStart w:id="383" w:name="_Toc296944538"/>
      <w:r>
        <w:rPr>
          <w:rFonts w:hint="eastAsia" w:ascii="宋体" w:hAnsi="宋体" w:eastAsia="宋体" w:cs="宋体"/>
          <w:color w:val="000000" w:themeColor="text1"/>
          <w:sz w:val="22"/>
          <w:szCs w:val="22"/>
          <w:highlight w:val="none"/>
          <w14:textFill>
            <w14:solidFill>
              <w14:schemeClr w14:val="tx1"/>
            </w14:solidFill>
          </w14:textFill>
        </w:rPr>
        <w:t>0.7 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5FB943F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暂</w:t>
      </w:r>
      <w:bookmarkStart w:id="384" w:name="_Toc312678034"/>
      <w:bookmarkStart w:id="385" w:name="_Toc318581176"/>
      <w:bookmarkStart w:id="386" w:name="_Toc312677508"/>
      <w:r>
        <w:rPr>
          <w:rFonts w:hint="eastAsia" w:ascii="宋体" w:hAnsi="宋体" w:eastAsia="宋体" w:cs="宋体"/>
          <w:color w:val="000000" w:themeColor="text1"/>
          <w:sz w:val="22"/>
          <w:szCs w:val="22"/>
          <w:highlight w:val="none"/>
          <w14:textFill>
            <w14:solidFill>
              <w14:schemeClr w14:val="tx1"/>
            </w14:solidFill>
          </w14:textFill>
        </w:rPr>
        <w:t>估价材料和工程设备的明细详见附件11：《暂估价一览表》。</w:t>
      </w:r>
    </w:p>
    <w:bookmarkEnd w:id="384"/>
    <w:bookmarkEnd w:id="385"/>
    <w:bookmarkEnd w:id="386"/>
    <w:p w14:paraId="1DA55B2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87" w:name="_Toc318581177"/>
      <w:bookmarkStart w:id="388" w:name="_Toc312678035"/>
      <w:bookmarkStart w:id="389" w:name="_Toc312677509"/>
      <w:r>
        <w:rPr>
          <w:rFonts w:hint="eastAsia" w:ascii="宋体" w:hAnsi="宋体" w:eastAsia="宋体" w:cs="宋体"/>
          <w:color w:val="000000" w:themeColor="text1"/>
          <w:sz w:val="22"/>
          <w:szCs w:val="22"/>
          <w:highlight w:val="none"/>
          <w14:textFill>
            <w14:solidFill>
              <w14:schemeClr w14:val="tx1"/>
            </w14:solidFill>
          </w14:textFill>
        </w:rPr>
        <w:t>0.7.1 依法必须招标的暂估价项目</w:t>
      </w:r>
    </w:p>
    <w:bookmarkEnd w:id="387"/>
    <w:bookmarkEnd w:id="388"/>
    <w:bookmarkEnd w:id="389"/>
    <w:p w14:paraId="47B654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对于依法必须招标的暂估价项目的确认和批准采取第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种方式确定。</w:t>
      </w:r>
    </w:p>
    <w:p w14:paraId="2920A0A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10.7.2 不属于依法必须招标的暂估价项目</w:t>
      </w:r>
    </w:p>
    <w:p w14:paraId="090AB34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对于不属于依法必须招标的暂估价项目的确认和批准采取第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种方式确定。</w:t>
      </w:r>
    </w:p>
    <w:p w14:paraId="674BFF6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第3种方式：承包人直接实施的暂估价项目</w:t>
      </w:r>
    </w:p>
    <w:p w14:paraId="2C5469E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承包人直接实施的暂估价项目的约定：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与本工程合同条件一致 </w:t>
      </w:r>
      <w:r>
        <w:rPr>
          <w:rFonts w:hint="eastAsia" w:ascii="宋体" w:hAnsi="宋体" w:eastAsia="宋体" w:cs="宋体"/>
          <w:color w:val="000000" w:themeColor="text1"/>
          <w:sz w:val="22"/>
          <w:szCs w:val="22"/>
          <w:highlight w:val="none"/>
          <w14:textFill>
            <w14:solidFill>
              <w14:schemeClr w14:val="tx1"/>
            </w14:solidFill>
          </w14:textFill>
        </w:rPr>
        <w:t>。</w:t>
      </w:r>
    </w:p>
    <w:p w14:paraId="066B75E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10.8 暂列金额</w:t>
      </w:r>
    </w:p>
    <w:p w14:paraId="64D52327">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合同当事人关于暂列金额使用的约定：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用于施工合同签订时尚未确定或者不可预见的所需材料、工程设备、服务的采购，施工中可能发生的工程变更</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u w:val="single"/>
          <w14:textFill>
            <w14:solidFill>
              <w14:schemeClr w14:val="tx1"/>
            </w14:solidFill>
          </w14:textFill>
        </w:rPr>
        <w:t xml:space="preserve">合同约定调整因素出现时的工程价款调整以及发生的索赔、现场签证确认等的费用  </w:t>
      </w:r>
      <w:r>
        <w:rPr>
          <w:rFonts w:hint="eastAsia" w:ascii="宋体" w:hAnsi="宋体" w:eastAsia="宋体" w:cs="宋体"/>
          <w:color w:val="000000" w:themeColor="text1"/>
          <w:sz w:val="22"/>
          <w:szCs w:val="22"/>
          <w:highlight w:val="none"/>
          <w14:textFill>
            <w14:solidFill>
              <w14:schemeClr w14:val="tx1"/>
            </w14:solidFill>
          </w14:textFill>
        </w:rPr>
        <w:t>。</w:t>
      </w:r>
    </w:p>
    <w:p w14:paraId="2771D1B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390" w:name="_Toc351203643"/>
      <w:r>
        <w:rPr>
          <w:rFonts w:hint="eastAsia" w:ascii="宋体" w:hAnsi="宋体" w:eastAsia="宋体" w:cs="宋体"/>
          <w:color w:val="000000" w:themeColor="text1"/>
          <w:sz w:val="22"/>
          <w:szCs w:val="22"/>
          <w:highlight w:val="none"/>
          <w14:textFill>
            <w14:solidFill>
              <w14:schemeClr w14:val="tx1"/>
            </w14:solidFill>
          </w14:textFill>
        </w:rPr>
        <w:t>11. 价格调整</w:t>
      </w:r>
      <w:bookmarkEnd w:id="390"/>
    </w:p>
    <w:p w14:paraId="08FCE50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391" w:name="_Toc296346702"/>
      <w:bookmarkStart w:id="392" w:name="_Toc296347200"/>
      <w:bookmarkStart w:id="393" w:name="_Toc297216209"/>
      <w:bookmarkStart w:id="394" w:name="_Toc304295577"/>
      <w:bookmarkStart w:id="395" w:name="_Toc296503201"/>
      <w:bookmarkStart w:id="396" w:name="_Toc297048387"/>
      <w:bookmarkStart w:id="397" w:name="_Toc300935000"/>
      <w:bookmarkStart w:id="398" w:name="_Toc296891241"/>
      <w:bookmarkStart w:id="399" w:name="_Toc303539157"/>
      <w:bookmarkStart w:id="400" w:name="_Toc292559406"/>
      <w:bookmarkStart w:id="401" w:name="_Toc297120501"/>
      <w:bookmarkStart w:id="402" w:name="_Toc292559911"/>
      <w:bookmarkStart w:id="403" w:name="_Toc297123550"/>
      <w:bookmarkStart w:id="404" w:name="_Toc312678039"/>
      <w:bookmarkStart w:id="405" w:name="_Toc296944540"/>
      <w:bookmarkStart w:id="406" w:name="_Toc296891029"/>
      <w:r>
        <w:rPr>
          <w:rFonts w:hint="eastAsia" w:ascii="宋体" w:hAnsi="宋体" w:eastAsia="宋体" w:cs="宋体"/>
          <w:color w:val="000000" w:themeColor="text1"/>
          <w:sz w:val="22"/>
          <w:szCs w:val="22"/>
          <w:highlight w:val="none"/>
          <w14:textFill>
            <w14:solidFill>
              <w14:schemeClr w14:val="tx1"/>
            </w14:solidFill>
          </w14:textFill>
        </w:rPr>
        <w:t>11.1 市场价格波动引起的调整</w:t>
      </w:r>
    </w:p>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14:paraId="30B47F7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市场价格波动是否调整合同价格的约定：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不调整 </w:t>
      </w:r>
      <w:r>
        <w:rPr>
          <w:rFonts w:hint="eastAsia" w:ascii="宋体" w:hAnsi="宋体" w:eastAsia="宋体" w:cs="宋体"/>
          <w:color w:val="000000" w:themeColor="text1"/>
          <w:sz w:val="22"/>
          <w:szCs w:val="22"/>
          <w:highlight w:val="none"/>
          <w14:textFill>
            <w14:solidFill>
              <w14:schemeClr w14:val="tx1"/>
            </w14:solidFill>
          </w14:textFill>
        </w:rPr>
        <w:t>。</w:t>
      </w:r>
    </w:p>
    <w:p w14:paraId="427D17E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因市场价格波动调整合同价格，采用以下第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种方式对合同价格进行调整：</w:t>
      </w:r>
    </w:p>
    <w:p w14:paraId="03C868D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第1种方式：采用价格指数进行价格调整。</w:t>
      </w:r>
    </w:p>
    <w:p w14:paraId="2D77AA8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关于各可调因子、定值和变值权重，以及基本价格指数及其来源的约定：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2A9A78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第2种方式：采用造价信息进行价格调整。</w:t>
      </w:r>
    </w:p>
    <w:p w14:paraId="17B4407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（2）关于基准价格的约定：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26D9DC6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%时，或材料单价跌幅以已标价工程量清单或预算书中载明材料单价为基础超过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%时，其超过部分据实调整。</w:t>
      </w:r>
    </w:p>
    <w:p w14:paraId="0BF9A24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%时，材料单价涨幅以已标价工程量清单或预算书中载明材料单价为基础超过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%时，其超过部分据实调整。</w:t>
      </w:r>
    </w:p>
    <w:p w14:paraId="41CE276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%时，其超过部分据实调整。</w:t>
      </w:r>
    </w:p>
    <w:p w14:paraId="0319D87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第3种方式：其他价格调整方式：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294"/>
    <w:bookmarkEnd w:id="295"/>
    <w:bookmarkEnd w:id="296"/>
    <w:bookmarkEnd w:id="297"/>
    <w:bookmarkEnd w:id="298"/>
    <w:bookmarkEnd w:id="299"/>
    <w:p w14:paraId="3D95858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07" w:name="_Toc296346706"/>
      <w:bookmarkStart w:id="408" w:name="_Toc292559915"/>
      <w:bookmarkStart w:id="409" w:name="_Toc296944544"/>
      <w:bookmarkStart w:id="410" w:name="_Toc297120505"/>
      <w:bookmarkStart w:id="411" w:name="_Toc292559410"/>
      <w:bookmarkStart w:id="412" w:name="_Toc296891033"/>
      <w:bookmarkStart w:id="413" w:name="_Toc296891245"/>
      <w:bookmarkStart w:id="414" w:name="_Toc296503205"/>
      <w:bookmarkStart w:id="415" w:name="_Toc297048391"/>
      <w:bookmarkStart w:id="416" w:name="_Toc296347204"/>
      <w:bookmarkStart w:id="417" w:name="_Toc351203644"/>
      <w:bookmarkStart w:id="418" w:name="_Toc297216211"/>
      <w:bookmarkStart w:id="419" w:name="_Toc300935002"/>
      <w:bookmarkStart w:id="420" w:name="_Toc312678040"/>
      <w:bookmarkStart w:id="421" w:name="_Toc304295579"/>
      <w:bookmarkStart w:id="422" w:name="_Toc303539159"/>
      <w:bookmarkStart w:id="423" w:name="_Toc297123552"/>
      <w:r>
        <w:rPr>
          <w:rFonts w:hint="eastAsia" w:ascii="宋体" w:hAnsi="宋体" w:eastAsia="宋体" w:cs="宋体"/>
          <w:color w:val="000000" w:themeColor="text1"/>
          <w:sz w:val="22"/>
          <w:szCs w:val="22"/>
          <w:highlight w:val="none"/>
          <w14:textFill>
            <w14:solidFill>
              <w14:schemeClr w14:val="tx1"/>
            </w14:solidFill>
          </w14:textFill>
        </w:rPr>
        <w:t xml:space="preserve">12. </w:t>
      </w:r>
      <w:bookmarkEnd w:id="407"/>
      <w:bookmarkEnd w:id="408"/>
      <w:bookmarkEnd w:id="409"/>
      <w:bookmarkEnd w:id="410"/>
      <w:bookmarkEnd w:id="411"/>
      <w:bookmarkEnd w:id="412"/>
      <w:bookmarkEnd w:id="413"/>
      <w:bookmarkEnd w:id="414"/>
      <w:bookmarkEnd w:id="415"/>
      <w:bookmarkEnd w:id="416"/>
      <w:r>
        <w:rPr>
          <w:rFonts w:hint="eastAsia" w:ascii="宋体" w:hAnsi="宋体" w:eastAsia="宋体" w:cs="宋体"/>
          <w:color w:val="000000" w:themeColor="text1"/>
          <w:sz w:val="22"/>
          <w:szCs w:val="22"/>
          <w:highlight w:val="none"/>
          <w14:textFill>
            <w14:solidFill>
              <w14:schemeClr w14:val="tx1"/>
            </w14:solidFill>
          </w14:textFill>
        </w:rPr>
        <w:t>合同价格、计量与支付</w:t>
      </w:r>
      <w:bookmarkEnd w:id="417"/>
    </w:p>
    <w:bookmarkEnd w:id="418"/>
    <w:bookmarkEnd w:id="419"/>
    <w:bookmarkEnd w:id="420"/>
    <w:bookmarkEnd w:id="421"/>
    <w:bookmarkEnd w:id="422"/>
    <w:bookmarkEnd w:id="423"/>
    <w:p w14:paraId="4BD8CBC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24" w:name="_Toc292559411"/>
      <w:bookmarkStart w:id="425" w:name="_Toc292559916"/>
      <w:bookmarkStart w:id="426" w:name="_Toc267251461"/>
      <w:bookmarkStart w:id="427" w:name="_Toc296891034"/>
      <w:bookmarkStart w:id="428" w:name="_Toc296346707"/>
      <w:bookmarkStart w:id="429" w:name="_Toc296347205"/>
      <w:bookmarkStart w:id="430" w:name="_Toc297120506"/>
      <w:bookmarkStart w:id="431" w:name="_Toc296891246"/>
      <w:bookmarkStart w:id="432" w:name="_Toc297048392"/>
      <w:bookmarkStart w:id="433" w:name="_Toc296944545"/>
      <w:bookmarkStart w:id="434" w:name="_Toc296503206"/>
      <w:bookmarkStart w:id="435" w:name="_Toc303539160"/>
      <w:bookmarkStart w:id="436" w:name="_Toc304295580"/>
      <w:bookmarkStart w:id="437" w:name="_Toc312678041"/>
      <w:bookmarkStart w:id="438" w:name="_Toc297123553"/>
      <w:bookmarkStart w:id="439" w:name="_Toc300935003"/>
      <w:bookmarkStart w:id="440" w:name="_Toc297216212"/>
      <w:r>
        <w:rPr>
          <w:rFonts w:hint="eastAsia" w:ascii="宋体" w:hAnsi="宋体" w:eastAsia="宋体" w:cs="宋体"/>
          <w:color w:val="000000" w:themeColor="text1"/>
          <w:sz w:val="22"/>
          <w:szCs w:val="22"/>
          <w:highlight w:val="none"/>
          <w14:textFill>
            <w14:solidFill>
              <w14:schemeClr w14:val="tx1"/>
            </w14:solidFill>
          </w14:textFill>
        </w:rPr>
        <w:t>12.1 合</w:t>
      </w:r>
      <w:bookmarkEnd w:id="424"/>
      <w:bookmarkEnd w:id="425"/>
      <w:bookmarkEnd w:id="426"/>
      <w:r>
        <w:rPr>
          <w:rFonts w:hint="eastAsia" w:ascii="宋体" w:hAnsi="宋体" w:eastAsia="宋体" w:cs="宋体"/>
          <w:color w:val="000000" w:themeColor="text1"/>
          <w:sz w:val="22"/>
          <w:szCs w:val="22"/>
          <w:highlight w:val="none"/>
          <w14:textFill>
            <w14:solidFill>
              <w14:schemeClr w14:val="tx1"/>
            </w14:solidFill>
          </w14:textFill>
        </w:rPr>
        <w:t>同价</w:t>
      </w:r>
      <w:bookmarkEnd w:id="427"/>
      <w:bookmarkEnd w:id="428"/>
      <w:bookmarkEnd w:id="429"/>
      <w:bookmarkEnd w:id="430"/>
      <w:bookmarkEnd w:id="431"/>
      <w:bookmarkEnd w:id="432"/>
      <w:bookmarkEnd w:id="433"/>
      <w:bookmarkEnd w:id="434"/>
      <w:r>
        <w:rPr>
          <w:rFonts w:hint="eastAsia" w:ascii="宋体" w:hAnsi="宋体" w:eastAsia="宋体" w:cs="宋体"/>
          <w:color w:val="000000" w:themeColor="text1"/>
          <w:sz w:val="22"/>
          <w:szCs w:val="22"/>
          <w:highlight w:val="none"/>
          <w14:textFill>
            <w14:solidFill>
              <w14:schemeClr w14:val="tx1"/>
            </w14:solidFill>
          </w14:textFill>
        </w:rPr>
        <w:t>格形式</w:t>
      </w:r>
    </w:p>
    <w:bookmarkEnd w:id="435"/>
    <w:bookmarkEnd w:id="436"/>
    <w:bookmarkEnd w:id="437"/>
    <w:bookmarkEnd w:id="438"/>
    <w:bookmarkEnd w:id="439"/>
    <w:bookmarkEnd w:id="440"/>
    <w:p w14:paraId="63B45C0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1、单价合同。</w:t>
      </w:r>
    </w:p>
    <w:p w14:paraId="4EC9BE9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综合单价包含的风险范围：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包含各类建材的市场风险和国家政策性调整风险系数和发包人对工期、质量等的要求，并计入综合单价，专用条款有约定的除外 </w:t>
      </w:r>
      <w:r>
        <w:rPr>
          <w:rFonts w:hint="eastAsia" w:ascii="宋体" w:hAnsi="宋体" w:eastAsia="宋体" w:cs="宋体"/>
          <w:color w:val="000000" w:themeColor="text1"/>
          <w:sz w:val="22"/>
          <w:szCs w:val="22"/>
          <w:highlight w:val="none"/>
          <w14:textFill>
            <w14:solidFill>
              <w14:schemeClr w14:val="tx1"/>
            </w14:solidFill>
          </w14:textFill>
        </w:rPr>
        <w:t>。</w:t>
      </w:r>
    </w:p>
    <w:p w14:paraId="49877CA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风险费用的计算方法：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按招标文件约定 </w:t>
      </w:r>
      <w:r>
        <w:rPr>
          <w:rFonts w:hint="eastAsia" w:ascii="宋体" w:hAnsi="宋体" w:eastAsia="宋体" w:cs="宋体"/>
          <w:color w:val="000000" w:themeColor="text1"/>
          <w:sz w:val="22"/>
          <w:szCs w:val="22"/>
          <w:highlight w:val="none"/>
          <w14:textFill>
            <w14:solidFill>
              <w14:schemeClr w14:val="tx1"/>
            </w14:solidFill>
          </w14:textFill>
        </w:rPr>
        <w:t>。</w:t>
      </w:r>
    </w:p>
    <w:p w14:paraId="5A93B1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风险范围以外合同价格的调整方法：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双方约定 </w:t>
      </w:r>
      <w:r>
        <w:rPr>
          <w:rFonts w:hint="eastAsia" w:ascii="宋体" w:hAnsi="宋体" w:eastAsia="宋体" w:cs="宋体"/>
          <w:color w:val="000000" w:themeColor="text1"/>
          <w:sz w:val="22"/>
          <w:szCs w:val="22"/>
          <w:highlight w:val="none"/>
          <w14:textFill>
            <w14:solidFill>
              <w14:schemeClr w14:val="tx1"/>
            </w14:solidFill>
          </w14:textFill>
        </w:rPr>
        <w:t>。</w:t>
      </w:r>
    </w:p>
    <w:p w14:paraId="5CDE992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12.1.1 本工程采用“固定单价”合同，合同实施过程中除招标文件和合同约定允许调整外，其余的综合单价不作调整。</w:t>
      </w:r>
    </w:p>
    <w:p w14:paraId="0AD7A1D2">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12.1.2 工程结算方式为：</w:t>
      </w:r>
    </w:p>
    <w:p w14:paraId="543490DD">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本工程按增值税一般方式计税</w:t>
      </w:r>
    </w:p>
    <w:p w14:paraId="31343DA0">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1、本招标项目工程竣工结算价=分部分项工程费用（实际数量*中标综合单价）+措施项目费用+其他项目费用+规费+税金+招标文件和合同约定可以调整的价格。</w:t>
      </w:r>
    </w:p>
    <w:p w14:paraId="6507AC8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上式中招标文件及合同约定调整的价格包括但不限于以下五种情况：</w:t>
      </w:r>
    </w:p>
    <w:p w14:paraId="40768B64">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①发包人签证使用的暂列金额、专业工程实际发包价。</w:t>
      </w:r>
    </w:p>
    <w:p w14:paraId="78CE7314">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②经发包人认可的《专业工程暂估价及结算价表》（如有）中的材料价格调整。</w:t>
      </w:r>
    </w:p>
    <w:p w14:paraId="26069C68">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③由于工程量清单漏项或非承包人原因的工程变更，造成增加新的工程量清单项目，其相应综合单价由承包人按招标文件约定的计价程序提出综合单价，经发包人确认后参照中标下浮率（%）同比下浮后进行结算。如按以上方法无法计算的按照合理的成本与利润构成的原则，由合同当事人按照通用条款第4.4款〔商定或确定〕确定变更工作的单价。</w:t>
      </w:r>
    </w:p>
    <w:p w14:paraId="7E98977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中标价（扣除招标预算价中暂列金额、专业工程暂估价、暂估</w:t>
      </w:r>
    </w:p>
    <w:p w14:paraId="37D41388">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材料或设备除税总价（及上述三项的规费和税金）</w:t>
      </w:r>
    </w:p>
    <w:p w14:paraId="3F5B10EA">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下浮率＝1－ ------------------------------------------------------- ×100%</w:t>
      </w:r>
    </w:p>
    <w:p w14:paraId="737983C9">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招标预算价（扣除招标预算价中暂列金额、专业工程暂估价、</w:t>
      </w:r>
    </w:p>
    <w:p w14:paraId="378103CE">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暂估材料或设备除税总价及上述三项的规费和税金）</w:t>
      </w:r>
    </w:p>
    <w:p w14:paraId="253D506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④由于分部分项工程量清单漏项或非承包人原因的工程变更引起的措施项目变化，造成施工组织设计或施工方案变更，拟实施的方案经发承包双方确认后执行，原措施费已有的项目，按原措施费的组价方法调整；原措施费中没有的措施项目，由承包人根据措施项目变更情况提出适当的措施费变更，经发包人确认后调整。</w:t>
      </w:r>
    </w:p>
    <w:p w14:paraId="41A455CF">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⑤以投标截止日前28天为基准日，其后国家的法律、法规、规章和政策发生变化导致工程税金、规费、人工发生变化，并由省级或行业建设行政主管部门或其授权的工程造价管理机构根据上述变化发布了政策性调整，影响工程造价的，相应调整工程价款。</w:t>
      </w:r>
    </w:p>
    <w:p w14:paraId="687B489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特别说明：</w:t>
      </w:r>
    </w:p>
    <w:p w14:paraId="7A750BE5">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①合同实施期间，本工程所有材料（设备）价格的上涨或下降风险均由承包人承担或受益，承包人在报价中充分考虑材料费价格波动风险，结算时价格一律不调整。</w:t>
      </w:r>
    </w:p>
    <w:p w14:paraId="2C19C89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②本工程实施过程中，不论最终结算工作量多少，中标的综合单价均不调整，其报价风险由投标人综合考虑在报价中。备注：本项目按磋商后中标的总价签订合同，投标人工程量清单中的综合单价同比例下浮（</w:t>
      </w:r>
      <w:r>
        <w:rPr>
          <w:rFonts w:hint="eastAsia" w:ascii="宋体" w:hAnsi="宋体" w:eastAsia="宋体" w:cs="宋体"/>
          <w:color w:val="000000" w:themeColor="text1"/>
          <w:highlight w:val="none"/>
          <w14:textFill>
            <w14:solidFill>
              <w14:schemeClr w14:val="tx1"/>
            </w14:solidFill>
          </w14:textFill>
        </w:rPr>
        <w:t>暂列金、暂估价不参与下浮</w:t>
      </w:r>
      <w:r>
        <w:rPr>
          <w:rFonts w:hint="eastAsia" w:ascii="宋体" w:hAnsi="宋体" w:eastAsia="宋体" w:cs="宋体"/>
          <w:color w:val="000000" w:themeColor="text1"/>
          <w:sz w:val="22"/>
          <w:szCs w:val="22"/>
          <w:highlight w:val="none"/>
          <w14:textFill>
            <w14:solidFill>
              <w14:schemeClr w14:val="tx1"/>
            </w14:solidFill>
          </w14:textFill>
        </w:rPr>
        <w:t>）。</w:t>
      </w:r>
    </w:p>
    <w:p w14:paraId="60088A2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现场安全文明施工措施费调整方式：工程竣工后，由市、县（市）工程造价管理机构根据施工合同、省市级建筑安全文明施工标准化示范项目创建和通报情况等办理核定手续，出具《现场安全文明施工措施费费率核定表》，竣工结算时上述费用根据核定结果调整。未经核定，不予计算。（如造价部门出具新规定标准，竣工结算时根据相关规定进行调整。）</w:t>
      </w:r>
    </w:p>
    <w:p w14:paraId="0E8E3777">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3、竣工结算时若承包人完成了发包人所要求的且为合同以外的零星工作或发生非承包人责任事件的工程量按现场实际完成的工程量经发包人签证确定。</w:t>
      </w:r>
    </w:p>
    <w:p w14:paraId="29BE5E6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4、工程竣工结算时，《其他项目清单与计价汇总表》中的暂列金额和暂估价均按发包人签证认可的价格执行，而且只调整此材料的价差和对应的规费及税金。</w:t>
      </w:r>
    </w:p>
    <w:p w14:paraId="4700208A">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承包人须注意：施工过程中须考虑成品保护措施费用以及材料运输过程中防尘、密闭运输、安全等措施费用、路面清洁、洒水等相关费用及与建设、城管等部门之间的矛盾协调、处罚及应上缴的相关规费等费用，承包人须自行考虑，并将其考虑进入承包报价中，与发包人无涉。成品保护按相关要求执行，工程施工不得随意破坏已完工的项目，如破坏需及时按原状修复，否则由发包人另行按排施工队伍修复，费用由发包方按排的承包人报价，在承包人结算总价中按3倍的价格扣减。</w:t>
      </w:r>
    </w:p>
    <w:p w14:paraId="66DD0506">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6、工程所发生施工、生活、消防用水、用电由承包人挂表计量，水、电费用按供电局、自来水公司收费费用及损耗在每次电费结算时按月缴清。</w:t>
      </w:r>
    </w:p>
    <w:p w14:paraId="78EBC07A">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承包人应严格按现行的行业规定落实材料款、机械费支付措施执行，确保及时支付。若发生拖欠现象，承包人不及时、妥善处理并影响发包人的，发包人可直接支付。发包人因此而提前支付的部分，每天按所提前支付的部分万分之五向总承包人计取罚金，直至发包人向总承包人下次付款之日，并在付款时作相应扣罚。</w:t>
      </w:r>
    </w:p>
    <w:p w14:paraId="1F7747EF">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8、施工现场如有建筑垃圾及地面地下其他构、建筑物基础等障碍物，该清理障碍等费用包含在总价措施费中，由承包人包干使用施工时不再签证。</w:t>
      </w:r>
    </w:p>
    <w:p w14:paraId="62EEEC9E">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9、本工程施工过程中遇到的地方矛盾及由此发生的费用由承包人自行负责。请承包人在投标报价中予以自行考虑，与发包人无涉。</w:t>
      </w:r>
    </w:p>
    <w:p w14:paraId="0D4C2B8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本项目发包人要求承包人严格按照《保障农民工工资支付条例》（国令第724号）文件要求执行。承包人进场前必须在发包人指定的银行开设农民工工资支付专用账户，用于支付农民工工资。在项目各分部工程开工前，发包人应将相应比例的人工工资划拨到承包人本项目的农民工工资支付专用账户。发包人要求承包人实行农民工实名制用工管理，在施工现场要设置脸谱和指纹考勤仪，承包人应在工程项目部配置专职劳务员，对进场农民工实施考勤，同时建立农民工进出场登记和劳动考勤计量等台账，并为农民工申办个人工资帐户和银行卡，按月编制工资支付书面记录，逐月向农民工提供工资清单，由农民工签字查收并保存两年以上备查。在各分部工程或专业工程自验合格后，及时向发包人报送民工工资支付申请表并附民工工资清单，开户银行凭施工和发包人共同盖章确认的民工工资支付申请表及民工工资清单，将民工工资直接转入民工的个人工资帐户。若承包人不能执行关于农民工工资的相关文件规定，发包人有权向主管部门申请与其单方面解除施工合同。</w:t>
      </w:r>
    </w:p>
    <w:p w14:paraId="243DEE35">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11、如有土方为外购土时运距由承包人自行考虑，土源土质回填时经发包人验收合格后方可施工。</w:t>
      </w:r>
    </w:p>
    <w:p w14:paraId="1E3941C9">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12、双方约定合同价款不予调整的情形，包括但不仅限于下列情形：</w:t>
      </w:r>
    </w:p>
    <w:p w14:paraId="78E2DCC8">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①发包人提供的图纸如果存在明显错误或疏忽，承包人作为合格的承包商应当发现并及时通知监理人。如果承包人不能发现或发现后不及时通知监理人，由此引起的停工索赔与返工经济签证发包人不予认可，结算价款不予调整；</w:t>
      </w:r>
    </w:p>
    <w:p w14:paraId="1FDA02A0">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②承包人原因造成工期延误，延误期间发生的材料价格上涨差额由承包人承担，不予调整；</w:t>
      </w:r>
    </w:p>
    <w:p w14:paraId="0FE9D47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③因承包人自身原因导致的工程变更、返工，造成工程价款增加的，不予调整；</w:t>
      </w:r>
    </w:p>
    <w:p w14:paraId="623B2A92">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④签证内容不全、与事实不符或不合技术标准、规范要求、施工常规、正常施工方法及已在招标文件要求计入投标报价范围的不予调整；</w:t>
      </w:r>
    </w:p>
    <w:p w14:paraId="6751A12B">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⑤不符合工程结算相关的法律、法规、规范性文件规定的价款不予调整。</w:t>
      </w:r>
    </w:p>
    <w:p w14:paraId="2EA89C1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2、总价合同。</w:t>
      </w:r>
    </w:p>
    <w:p w14:paraId="2AFC293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总价包含的风险范围：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D1D52F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风险费用的计算方法：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225F92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风险范围以外合同价格的调整方法：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E40CA5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3、其他价格方式：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C4D0B0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41" w:name="_Toc300935004"/>
      <w:bookmarkStart w:id="442" w:name="_Toc297123554"/>
      <w:bookmarkStart w:id="443" w:name="_Toc312678042"/>
      <w:bookmarkStart w:id="444" w:name="_Toc297216213"/>
      <w:bookmarkStart w:id="445" w:name="_Toc304295581"/>
      <w:bookmarkStart w:id="446" w:name="_Toc303539161"/>
      <w:bookmarkStart w:id="447" w:name="_Toc292559917"/>
      <w:bookmarkStart w:id="448" w:name="_Toc296891247"/>
      <w:bookmarkStart w:id="449" w:name="_Toc296891035"/>
      <w:bookmarkStart w:id="450" w:name="_Toc297120507"/>
      <w:bookmarkStart w:id="451" w:name="_Toc296346708"/>
      <w:bookmarkStart w:id="452" w:name="_Toc296944546"/>
      <w:bookmarkStart w:id="453" w:name="_Toc296503207"/>
      <w:bookmarkStart w:id="454" w:name="_Toc297048393"/>
      <w:bookmarkStart w:id="455" w:name="_Toc292559412"/>
      <w:bookmarkStart w:id="456" w:name="_Toc296347206"/>
      <w:r>
        <w:rPr>
          <w:rFonts w:hint="eastAsia" w:ascii="宋体" w:hAnsi="宋体" w:eastAsia="宋体" w:cs="宋体"/>
          <w:color w:val="000000" w:themeColor="text1"/>
          <w:sz w:val="22"/>
          <w:szCs w:val="22"/>
          <w:highlight w:val="none"/>
          <w14:textFill>
            <w14:solidFill>
              <w14:schemeClr w14:val="tx1"/>
            </w14:solidFill>
          </w14:textFill>
        </w:rPr>
        <w:t>12.2 预付款</w:t>
      </w:r>
    </w:p>
    <w:bookmarkEnd w:id="441"/>
    <w:bookmarkEnd w:id="442"/>
    <w:bookmarkEnd w:id="443"/>
    <w:bookmarkEnd w:id="444"/>
    <w:bookmarkEnd w:id="445"/>
    <w:bookmarkEnd w:id="446"/>
    <w:p w14:paraId="05E3AE1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12.2.1 预付款的支付</w:t>
      </w:r>
    </w:p>
    <w:p w14:paraId="7CEA4D3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预付款支付比例或金额：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1A9E006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12.2.2 预付款担保</w:t>
      </w:r>
    </w:p>
    <w:p w14:paraId="3932195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承包人提交预付款担保的期限：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8A6C19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预付款担保的形式为：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447"/>
    <w:bookmarkEnd w:id="448"/>
    <w:bookmarkEnd w:id="449"/>
    <w:bookmarkEnd w:id="450"/>
    <w:bookmarkEnd w:id="451"/>
    <w:bookmarkEnd w:id="452"/>
    <w:bookmarkEnd w:id="453"/>
    <w:bookmarkEnd w:id="454"/>
    <w:bookmarkEnd w:id="455"/>
    <w:bookmarkEnd w:id="456"/>
    <w:p w14:paraId="0AEED73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 计量</w:t>
      </w:r>
    </w:p>
    <w:p w14:paraId="7BA02D6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12.3.1 计量原则</w:t>
      </w:r>
    </w:p>
    <w:p w14:paraId="03E1852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工程量计算规则：</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以相关的国家标准、行业标准为依据  </w:t>
      </w:r>
      <w:r>
        <w:rPr>
          <w:rFonts w:hint="eastAsia" w:ascii="宋体" w:hAnsi="宋体" w:eastAsia="宋体" w:cs="宋体"/>
          <w:color w:val="000000" w:themeColor="text1"/>
          <w:sz w:val="22"/>
          <w:szCs w:val="22"/>
          <w:highlight w:val="none"/>
          <w14:textFill>
            <w14:solidFill>
              <w14:schemeClr w14:val="tx1"/>
            </w14:solidFill>
          </w14:textFill>
        </w:rPr>
        <w:t>。</w:t>
      </w:r>
    </w:p>
    <w:p w14:paraId="0C806CC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12.3.2 计量周期</w:t>
      </w:r>
    </w:p>
    <w:p w14:paraId="302A3F9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关于计量周期的约定：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承包人每月25日前向发包人和本工程的造价控制单位同时申报已完成的合格工程量 </w:t>
      </w:r>
      <w:r>
        <w:rPr>
          <w:rFonts w:hint="eastAsia" w:ascii="宋体" w:hAnsi="宋体" w:eastAsia="宋体" w:cs="宋体"/>
          <w:color w:val="000000" w:themeColor="text1"/>
          <w:sz w:val="22"/>
          <w:szCs w:val="22"/>
          <w:highlight w:val="none"/>
          <w14:textFill>
            <w14:solidFill>
              <w14:schemeClr w14:val="tx1"/>
            </w14:solidFill>
          </w14:textFill>
        </w:rPr>
        <w:t>。</w:t>
      </w:r>
    </w:p>
    <w:p w14:paraId="75CFF8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12.3.3 单价合同的计量</w:t>
      </w:r>
    </w:p>
    <w:p w14:paraId="24E3CA3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关于单价合同计量的约定：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工程量按(2013清单计量规范）按实计算 </w:t>
      </w:r>
      <w:r>
        <w:rPr>
          <w:rFonts w:hint="eastAsia" w:ascii="宋体" w:hAnsi="宋体" w:eastAsia="宋体" w:cs="宋体"/>
          <w:color w:val="000000" w:themeColor="text1"/>
          <w:sz w:val="22"/>
          <w:szCs w:val="22"/>
          <w:highlight w:val="none"/>
          <w14:textFill>
            <w14:solidFill>
              <w14:schemeClr w14:val="tx1"/>
            </w14:solidFill>
          </w14:textFill>
        </w:rPr>
        <w:t>。</w:t>
      </w:r>
    </w:p>
    <w:p w14:paraId="5C9A16C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12.3.4 总价合同的计量</w:t>
      </w:r>
    </w:p>
    <w:p w14:paraId="71BC0C8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关于总价合同计量的约定：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7133848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12.3.5总价合同采用支付分解表计量支付的，是否适用第12.3.4 项〔总价合同的计量〕约定进行计量：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035367D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12.3.6 其他价格形式合同的计量</w:t>
      </w:r>
    </w:p>
    <w:p w14:paraId="20899FF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其他价格形式的计量方式和程序：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027CDF1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 工程进度款支付</w:t>
      </w:r>
    </w:p>
    <w:p w14:paraId="0743ED9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bookmarkStart w:id="457" w:name="_Toc292559921"/>
      <w:bookmarkStart w:id="458" w:name="_Toc296503211"/>
      <w:bookmarkStart w:id="459" w:name="_Toc296891039"/>
      <w:bookmarkStart w:id="460" w:name="_Toc300935006"/>
      <w:bookmarkStart w:id="461" w:name="_Toc292559416"/>
      <w:bookmarkStart w:id="462" w:name="_Toc296347210"/>
      <w:bookmarkStart w:id="463" w:name="_Toc297216215"/>
      <w:bookmarkStart w:id="464" w:name="_Toc296891251"/>
      <w:bookmarkStart w:id="465" w:name="_Toc296346712"/>
      <w:bookmarkStart w:id="466" w:name="_Toc296944550"/>
      <w:bookmarkStart w:id="467" w:name="_Toc303539163"/>
      <w:bookmarkStart w:id="468" w:name="_Toc297048397"/>
      <w:bookmarkStart w:id="469" w:name="_Toc297123556"/>
      <w:bookmarkStart w:id="470" w:name="_Toc297120511"/>
      <w:r>
        <w:rPr>
          <w:rFonts w:hint="eastAsia" w:ascii="宋体" w:hAnsi="宋体" w:eastAsia="宋体" w:cs="宋体"/>
          <w:color w:val="000000" w:themeColor="text1"/>
          <w:sz w:val="22"/>
          <w:szCs w:val="22"/>
          <w:highlight w:val="none"/>
          <w14:textFill>
            <w14:solidFill>
              <w14:schemeClr w14:val="tx1"/>
            </w14:solidFill>
          </w14:textFill>
        </w:rPr>
        <w:t>12.4.1 付款周期</w:t>
      </w:r>
    </w:p>
    <w:p w14:paraId="44ED0E5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关于付款周期的约定：</w:t>
      </w:r>
    </w:p>
    <w:p w14:paraId="391976AA">
      <w:pPr>
        <w:pageBreakBefore w:val="0"/>
        <w:kinsoku/>
        <w:wordWrap/>
        <w:overflowPunct/>
        <w:topLinePunct w:val="0"/>
        <w:bidi w:val="0"/>
        <w:snapToGrid/>
        <w:spacing w:line="400" w:lineRule="exact"/>
        <w:ind w:firstLine="482"/>
        <w:contextualSpacing/>
        <w:rPr>
          <w:rFonts w:hint="eastAsia" w:ascii="宋体" w:hAnsi="宋体" w:eastAsia="宋体" w:cs="宋体"/>
          <w:bCs/>
          <w:color w:val="000000" w:themeColor="text1"/>
          <w:sz w:val="22"/>
          <w:szCs w:val="22"/>
          <w:highlight w:val="none"/>
          <w:u w:val="singl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本项目无预付款，项目全部竣工并经验收合格后付至合同总价的70%。经审计验收合格后拨付至结算价的90%。余款质保期满（一年）无质量问题一次性付清。</w:t>
      </w:r>
    </w:p>
    <w:p w14:paraId="31292F01">
      <w:pPr>
        <w:pageBreakBefore w:val="0"/>
        <w:kinsoku/>
        <w:wordWrap/>
        <w:overflowPunct/>
        <w:topLinePunct w:val="0"/>
        <w:bidi w:val="0"/>
        <w:snapToGrid/>
        <w:spacing w:line="400" w:lineRule="exact"/>
        <w:ind w:firstLine="482"/>
        <w:contextualSpacing/>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注：每次付款需提供等额的增值税发票</w:t>
      </w:r>
      <w:r>
        <w:rPr>
          <w:rFonts w:hint="eastAsia" w:ascii="宋体" w:hAnsi="宋体" w:eastAsia="宋体" w:cs="宋体"/>
          <w:bCs/>
          <w:color w:val="000000" w:themeColor="text1"/>
          <w:sz w:val="22"/>
          <w:szCs w:val="22"/>
          <w:highlight w:val="none"/>
          <w:lang w:eastAsia="zh-CN"/>
          <w14:textFill>
            <w14:solidFill>
              <w14:schemeClr w14:val="tx1"/>
            </w14:solidFill>
          </w14:textFill>
        </w:rPr>
        <w:t>，</w:t>
      </w:r>
      <w:r>
        <w:rPr>
          <w:rFonts w:hint="eastAsia" w:ascii="宋体" w:hAnsi="宋体" w:eastAsia="宋体" w:cs="宋体"/>
          <w:bCs/>
          <w:color w:val="000000" w:themeColor="text1"/>
          <w:sz w:val="22"/>
          <w:szCs w:val="22"/>
          <w:highlight w:val="none"/>
          <w14:textFill>
            <w14:solidFill>
              <w14:schemeClr w14:val="tx1"/>
            </w14:solidFill>
          </w14:textFill>
        </w:rPr>
        <w:t>甲方应当自收到乙方完整的发票后10日内支付资金，以上付款均为利息，一律通过银行结转。</w:t>
      </w:r>
    </w:p>
    <w:p w14:paraId="64FF68CF">
      <w:pPr>
        <w:pageBreakBefore w:val="0"/>
        <w:kinsoku/>
        <w:wordWrap/>
        <w:overflowPunct/>
        <w:topLinePunct w:val="0"/>
        <w:bidi w:val="0"/>
        <w:snapToGrid/>
        <w:spacing w:line="400" w:lineRule="exact"/>
        <w:ind w:firstLine="482"/>
        <w:contextualSpacing/>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如需向与财政部门签署融资合作协议的银行办理授信申请的，需在协作银行开立结算户作为回款专用户，作为该笔合同唯一的收款账户，供货结束货款结算时，财政部门将政府采购款直接支付到该账户。</w:t>
      </w:r>
    </w:p>
    <w:p w14:paraId="1BF51A7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12.4.2 进度付款申请单的编制</w:t>
      </w:r>
    </w:p>
    <w:p w14:paraId="592BBC1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关于进度付款申请单编制的约定：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722D20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Pr>
          <w:rFonts w:hint="eastAsia" w:ascii="宋体" w:hAnsi="宋体" w:eastAsia="宋体" w:cs="宋体"/>
          <w:color w:val="000000" w:themeColor="text1"/>
          <w:sz w:val="22"/>
          <w:szCs w:val="22"/>
          <w:highlight w:val="none"/>
          <w14:textFill>
            <w14:solidFill>
              <w14:schemeClr w14:val="tx1"/>
            </w14:solidFill>
          </w14:textFill>
        </w:rPr>
        <w:t>2.4.3 进度付款申请单的提交</w:t>
      </w:r>
    </w:p>
    <w:p w14:paraId="75C932C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（1）单价合同进度付款申请单提交的约定：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49BC187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（2）总价合同进度付款申请单提交的约定：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B0DA93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（3）其他价格形式合同进度付款申请单提交的约定：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5FDA67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12.4.4 进度款审核和支付</w:t>
      </w:r>
    </w:p>
    <w:p w14:paraId="6E7264B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（1）监理人审查并报送发包人的期限：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08EE7C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发包人完成审批并签发进度款支付证书的期限：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15天   </w:t>
      </w:r>
      <w:r>
        <w:rPr>
          <w:rFonts w:hint="eastAsia" w:ascii="宋体" w:hAnsi="宋体" w:eastAsia="宋体" w:cs="宋体"/>
          <w:color w:val="000000" w:themeColor="text1"/>
          <w:sz w:val="22"/>
          <w:szCs w:val="22"/>
          <w:highlight w:val="none"/>
          <w14:textFill>
            <w14:solidFill>
              <w14:schemeClr w14:val="tx1"/>
            </w14:solidFill>
          </w14:textFill>
        </w:rPr>
        <w:t>。</w:t>
      </w:r>
    </w:p>
    <w:p w14:paraId="1A639A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（2）发包人支付进度款的期限：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5DB6A9D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发包人逾期支付进度款的违约金的计算方式：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42BF8FA">
      <w:pPr>
        <w:pageBreakBefore w:val="0"/>
        <w:kinsoku/>
        <w:wordWrap/>
        <w:overflowPunct/>
        <w:topLinePunct w:val="0"/>
        <w:bidi w:val="0"/>
        <w:snapToGrid/>
        <w:spacing w:line="400" w:lineRule="exact"/>
        <w:ind w:firstLine="550" w:firstLineChars="25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12.4.6 支付分解表的编制</w:t>
      </w:r>
    </w:p>
    <w:p w14:paraId="6F4DABC1">
      <w:pPr>
        <w:pageBreakBefore w:val="0"/>
        <w:kinsoku/>
        <w:wordWrap/>
        <w:overflowPunct/>
        <w:topLinePunct w:val="0"/>
        <w:bidi w:val="0"/>
        <w:snapToGrid/>
        <w:spacing w:line="400" w:lineRule="exact"/>
        <w:ind w:left="4397" w:leftChars="208" w:hanging="3960" w:hangingChars="18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2、总价合同支付分解表的编制与审批：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B52D61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3、单价合同的总价项目支付分解表的编制与审批：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300"/>
    <w:p w14:paraId="5504FEF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71" w:name="_Toc351203645"/>
      <w:bookmarkStart w:id="472" w:name="_Toc296891259"/>
      <w:bookmarkStart w:id="473" w:name="_Toc297120519"/>
      <w:bookmarkStart w:id="474" w:name="_Toc296503219"/>
      <w:bookmarkStart w:id="475" w:name="_Toc303539172"/>
      <w:bookmarkStart w:id="476" w:name="_Toc296347218"/>
      <w:bookmarkStart w:id="477" w:name="_Toc292559929"/>
      <w:bookmarkStart w:id="478" w:name="_Toc292559424"/>
      <w:bookmarkStart w:id="479" w:name="_Toc296346720"/>
      <w:bookmarkStart w:id="480" w:name="_Toc296891047"/>
      <w:bookmarkStart w:id="481" w:name="_Toc297048405"/>
      <w:bookmarkStart w:id="482" w:name="_Toc312678053"/>
      <w:bookmarkStart w:id="483" w:name="_Toc297123564"/>
      <w:bookmarkStart w:id="484" w:name="_Toc296944558"/>
      <w:bookmarkStart w:id="485" w:name="_Toc304295593"/>
      <w:bookmarkStart w:id="486" w:name="_Toc300935015"/>
      <w:bookmarkStart w:id="487" w:name="_Toc297216223"/>
      <w:r>
        <w:rPr>
          <w:rFonts w:hint="eastAsia" w:ascii="宋体" w:hAnsi="宋体" w:eastAsia="宋体" w:cs="宋体"/>
          <w:color w:val="000000" w:themeColor="text1"/>
          <w:sz w:val="22"/>
          <w:szCs w:val="22"/>
          <w:highlight w:val="none"/>
          <w14:textFill>
            <w14:solidFill>
              <w14:schemeClr w14:val="tx1"/>
            </w14:solidFill>
          </w14:textFill>
        </w:rPr>
        <w:t>13.验收和工程试车</w:t>
      </w:r>
      <w:bookmarkEnd w:id="471"/>
    </w:p>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14:paraId="5EAC8C3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13.1 分部分项工程验收</w:t>
      </w:r>
    </w:p>
    <w:p w14:paraId="12A1277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13.1.2监理人不能按时进行验收时，应提前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24 </w:t>
      </w:r>
      <w:r>
        <w:rPr>
          <w:rFonts w:hint="eastAsia" w:ascii="宋体" w:hAnsi="宋体" w:eastAsia="宋体" w:cs="宋体"/>
          <w:color w:val="000000" w:themeColor="text1"/>
          <w:sz w:val="22"/>
          <w:szCs w:val="22"/>
          <w:highlight w:val="none"/>
          <w14:textFill>
            <w14:solidFill>
              <w14:schemeClr w14:val="tx1"/>
            </w14:solidFill>
          </w14:textFill>
        </w:rPr>
        <w:t>小时提交书面延期要求。</w:t>
      </w:r>
    </w:p>
    <w:p w14:paraId="2BF9DB76">
      <w:pPr>
        <w:pageBreakBefore w:val="0"/>
        <w:kinsoku/>
        <w:wordWrap/>
        <w:overflowPunct/>
        <w:topLinePunct w:val="0"/>
        <w:bidi w:val="0"/>
        <w:snapToGrid/>
        <w:spacing w:line="400" w:lineRule="exact"/>
        <w:ind w:firstLine="440" w:firstLineChars="200"/>
        <w:jc w:val="left"/>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关于延期最长不得超过：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48 </w:t>
      </w:r>
      <w:r>
        <w:rPr>
          <w:rFonts w:hint="eastAsia" w:ascii="宋体" w:hAnsi="宋体" w:eastAsia="宋体" w:cs="宋体"/>
          <w:color w:val="000000" w:themeColor="text1"/>
          <w:sz w:val="22"/>
          <w:szCs w:val="22"/>
          <w:highlight w:val="none"/>
          <w14:textFill>
            <w14:solidFill>
              <w14:schemeClr w14:val="tx1"/>
            </w14:solidFill>
          </w14:textFill>
        </w:rPr>
        <w:t>小时。</w:t>
      </w:r>
    </w:p>
    <w:p w14:paraId="3745CF0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88" w:name="_Toc297123565"/>
      <w:bookmarkStart w:id="489" w:name="_Toc296503223"/>
      <w:bookmarkStart w:id="490" w:name="_Toc296891263"/>
      <w:bookmarkStart w:id="491" w:name="_Toc296891051"/>
      <w:bookmarkStart w:id="492" w:name="_Toc297120523"/>
      <w:bookmarkStart w:id="493" w:name="_Toc296346724"/>
      <w:bookmarkStart w:id="494" w:name="_Toc297048409"/>
      <w:bookmarkStart w:id="495" w:name="_Toc312678056"/>
      <w:bookmarkStart w:id="496" w:name="_Toc296347222"/>
      <w:bookmarkStart w:id="497" w:name="_Toc300935016"/>
      <w:bookmarkStart w:id="498" w:name="_Toc303539173"/>
      <w:bookmarkStart w:id="499" w:name="_Toc297216224"/>
      <w:bookmarkStart w:id="500" w:name="_Toc292559428"/>
      <w:bookmarkStart w:id="501" w:name="_Toc296944562"/>
      <w:bookmarkStart w:id="502" w:name="_Toc292559933"/>
      <w:bookmarkStart w:id="503" w:name="_Toc304295596"/>
      <w:bookmarkStart w:id="504" w:name="_Toc267251470"/>
      <w:bookmarkStart w:id="505" w:name="_Toc267251474"/>
      <w:bookmarkStart w:id="506" w:name="_Toc267251471"/>
      <w:bookmarkStart w:id="507" w:name="_Toc267251475"/>
      <w:bookmarkStart w:id="508" w:name="_Toc267251476"/>
      <w:bookmarkStart w:id="509" w:name="_Toc267251472"/>
      <w:bookmarkStart w:id="510" w:name="_Toc267251473"/>
      <w:r>
        <w:rPr>
          <w:rFonts w:hint="eastAsia" w:ascii="宋体" w:hAnsi="宋体" w:eastAsia="宋体" w:cs="宋体"/>
          <w:color w:val="000000" w:themeColor="text1"/>
          <w:sz w:val="22"/>
          <w:szCs w:val="22"/>
          <w:highlight w:val="none"/>
          <w14:textFill>
            <w14:solidFill>
              <w14:schemeClr w14:val="tx1"/>
            </w14:solidFill>
          </w14:textFill>
        </w:rPr>
        <w:t>13.2 竣工验收</w:t>
      </w:r>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14:paraId="2E2BAC7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bookmarkStart w:id="511" w:name="_Toc280868704"/>
      <w:bookmarkStart w:id="512" w:name="_Toc280868705"/>
      <w:bookmarkStart w:id="513" w:name="_Toc280868706"/>
      <w:bookmarkStart w:id="514" w:name="_Toc280868707"/>
      <w:bookmarkStart w:id="515" w:name="_Toc280868708"/>
      <w:bookmarkStart w:id="516" w:name="_Toc280868709"/>
      <w:r>
        <w:rPr>
          <w:rFonts w:hint="eastAsia" w:ascii="宋体" w:hAnsi="宋体" w:eastAsia="宋体" w:cs="宋体"/>
          <w:color w:val="000000" w:themeColor="text1"/>
          <w:sz w:val="22"/>
          <w:szCs w:val="22"/>
          <w:highlight w:val="none"/>
          <w14:textFill>
            <w14:solidFill>
              <w14:schemeClr w14:val="tx1"/>
            </w14:solidFill>
          </w14:textFill>
        </w:rPr>
        <w:t>13.2.2竣工验收程序</w:t>
      </w:r>
    </w:p>
    <w:bookmarkEnd w:id="511"/>
    <w:p w14:paraId="2C183CB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关于竣工验收程序的约定：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具备竣工验收条件后先由施工单位进行自检自验，自验合格后报发包人和监理等单位竣工验收进行竣工验收。具体按住房城乡建设部关于印发《房屋建筑和市政基础设施工程竣工验收规定》执行 </w:t>
      </w:r>
      <w:r>
        <w:rPr>
          <w:rFonts w:hint="eastAsia" w:ascii="宋体" w:hAnsi="宋体" w:eastAsia="宋体" w:cs="宋体"/>
          <w:color w:val="000000" w:themeColor="text1"/>
          <w:sz w:val="22"/>
          <w:szCs w:val="22"/>
          <w:highlight w:val="none"/>
          <w14:textFill>
            <w14:solidFill>
              <w14:schemeClr w14:val="tx1"/>
            </w14:solidFill>
          </w14:textFill>
        </w:rPr>
        <w:t>。</w:t>
      </w:r>
    </w:p>
    <w:p w14:paraId="22BD8C3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发包人不按照本项约定组织竣工验收、颁发工程接收证书的违约金的计算方法：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512"/>
    <w:p w14:paraId="467FA0E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13.2.5移交、接收全部与部分工程</w:t>
      </w:r>
    </w:p>
    <w:bookmarkEnd w:id="513"/>
    <w:p w14:paraId="6718A6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承包人向发包人移交工程的期限：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具备竣工验收条件,承包人按国家工程竣工验收有关规定,向发包人代表提供完整竣工资料和竣工验收申请报告。发包人代表收到竣工验收申请报告后48小时给予确认是否具备验收条件，确认后48小时内组织有关部门对本合同竣工内容进行验收,并在验收后48小时内给予批准或提出修改意见。承包人按要求修改,并承担由自身原因造成修改的费用 </w:t>
      </w:r>
      <w:r>
        <w:rPr>
          <w:rFonts w:hint="eastAsia" w:ascii="宋体" w:hAnsi="宋体" w:eastAsia="宋体" w:cs="宋体"/>
          <w:color w:val="000000" w:themeColor="text1"/>
          <w:sz w:val="22"/>
          <w:szCs w:val="22"/>
          <w:highlight w:val="none"/>
          <w14:textFill>
            <w14:solidFill>
              <w14:schemeClr w14:val="tx1"/>
            </w14:solidFill>
          </w14:textFill>
        </w:rPr>
        <w:t>。</w:t>
      </w:r>
    </w:p>
    <w:p w14:paraId="4F21D78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发包人未按本合同约定接收全部或部分工程的，违约金的计算方法为：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514"/>
    <w:p w14:paraId="5E81CD27">
      <w:pPr>
        <w:pageBreakBefore w:val="0"/>
        <w:kinsoku/>
        <w:wordWrap/>
        <w:overflowPunct/>
        <w:topLinePunct w:val="0"/>
        <w:bidi w:val="0"/>
        <w:snapToGrid/>
        <w:spacing w:line="400" w:lineRule="exact"/>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承包人未按时移交工程的，违约金的计算方法为：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因承包人原因延误工期的，承包人应承担违约责任，按每拖延一天向发包人支付5000元的违约金 </w:t>
      </w:r>
      <w:r>
        <w:rPr>
          <w:rFonts w:hint="eastAsia" w:ascii="宋体" w:hAnsi="宋体" w:eastAsia="宋体" w:cs="宋体"/>
          <w:color w:val="000000" w:themeColor="text1"/>
          <w:sz w:val="22"/>
          <w:szCs w:val="22"/>
          <w:highlight w:val="none"/>
          <w14:textFill>
            <w14:solidFill>
              <w14:schemeClr w14:val="tx1"/>
            </w14:solidFill>
          </w14:textFill>
        </w:rPr>
        <w:t>。</w:t>
      </w:r>
    </w:p>
    <w:p w14:paraId="5750406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13.3 工程试车</w:t>
      </w:r>
    </w:p>
    <w:bookmarkEnd w:id="515"/>
    <w:p w14:paraId="47F5DB0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13.3.1 试车程序</w:t>
      </w:r>
    </w:p>
    <w:p w14:paraId="137DC1A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工程试车内容：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不涉及  </w:t>
      </w:r>
      <w:r>
        <w:rPr>
          <w:rFonts w:hint="eastAsia" w:ascii="宋体" w:hAnsi="宋体" w:eastAsia="宋体" w:cs="宋体"/>
          <w:color w:val="000000" w:themeColor="text1"/>
          <w:sz w:val="22"/>
          <w:szCs w:val="22"/>
          <w:highlight w:val="none"/>
          <w14:textFill>
            <w14:solidFill>
              <w14:schemeClr w14:val="tx1"/>
            </w14:solidFill>
          </w14:textFill>
        </w:rPr>
        <w:t>。</w:t>
      </w:r>
    </w:p>
    <w:p w14:paraId="603DDA1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（1）单机无负荷试车费用由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   </w:t>
      </w:r>
      <w:r>
        <w:rPr>
          <w:rFonts w:hint="eastAsia" w:ascii="宋体" w:hAnsi="宋体" w:eastAsia="宋体" w:cs="宋体"/>
          <w:color w:val="000000" w:themeColor="text1"/>
          <w:sz w:val="22"/>
          <w:szCs w:val="22"/>
          <w:highlight w:val="none"/>
          <w14:textFill>
            <w14:solidFill>
              <w14:schemeClr w14:val="tx1"/>
            </w14:solidFill>
          </w14:textFill>
        </w:rPr>
        <w:t>承担；</w:t>
      </w:r>
    </w:p>
    <w:p w14:paraId="22313A4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（2）无负荷联动试车费用由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   </w:t>
      </w:r>
      <w:r>
        <w:rPr>
          <w:rFonts w:hint="eastAsia" w:ascii="宋体" w:hAnsi="宋体" w:eastAsia="宋体" w:cs="宋体"/>
          <w:color w:val="000000" w:themeColor="text1"/>
          <w:sz w:val="22"/>
          <w:szCs w:val="22"/>
          <w:highlight w:val="none"/>
          <w14:textFill>
            <w14:solidFill>
              <w14:schemeClr w14:val="tx1"/>
            </w14:solidFill>
          </w14:textFill>
        </w:rPr>
        <w:t>承担。</w:t>
      </w:r>
    </w:p>
    <w:p w14:paraId="2CD1F68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13.3.3 投料试车</w:t>
      </w:r>
    </w:p>
    <w:p w14:paraId="7E19105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关于投料试车相关事项的约定：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根据实际情况，按发包人要求执行 </w:t>
      </w:r>
      <w:r>
        <w:rPr>
          <w:rFonts w:hint="eastAsia" w:ascii="宋体" w:hAnsi="宋体" w:eastAsia="宋体" w:cs="宋体"/>
          <w:color w:val="000000" w:themeColor="text1"/>
          <w:sz w:val="22"/>
          <w:szCs w:val="22"/>
          <w:highlight w:val="none"/>
          <w14:textFill>
            <w14:solidFill>
              <w14:schemeClr w14:val="tx1"/>
            </w14:solidFill>
          </w14:textFill>
        </w:rPr>
        <w:t>。</w:t>
      </w:r>
    </w:p>
    <w:p w14:paraId="4DCE59F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13.6 竣工退场</w:t>
      </w:r>
    </w:p>
    <w:p w14:paraId="6F3C354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13.6.1 竣工退场</w:t>
      </w:r>
    </w:p>
    <w:p w14:paraId="7E86A89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承包人完成竣工退场的期限：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工程竣工验收通过后7天内承包人将竣工工程交付发包人，撤离除收尾工程所需的临时设施、人员、材料和设备，承包人不得以任何理由拖延交付及退场时间 </w:t>
      </w:r>
      <w:r>
        <w:rPr>
          <w:rFonts w:hint="eastAsia" w:ascii="宋体" w:hAnsi="宋体" w:eastAsia="宋体" w:cs="宋体"/>
          <w:color w:val="000000" w:themeColor="text1"/>
          <w:sz w:val="22"/>
          <w:szCs w:val="22"/>
          <w:highlight w:val="none"/>
          <w14:textFill>
            <w14:solidFill>
              <w14:schemeClr w14:val="tx1"/>
            </w14:solidFill>
          </w14:textFill>
        </w:rPr>
        <w:t>。</w:t>
      </w:r>
    </w:p>
    <w:p w14:paraId="158DEFE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17" w:name="_Toc351203646"/>
      <w:r>
        <w:rPr>
          <w:rFonts w:hint="eastAsia" w:ascii="宋体" w:hAnsi="宋体" w:eastAsia="宋体" w:cs="宋体"/>
          <w:color w:val="000000" w:themeColor="text1"/>
          <w:sz w:val="22"/>
          <w:szCs w:val="22"/>
          <w:highlight w:val="none"/>
          <w14:textFill>
            <w14:solidFill>
              <w14:schemeClr w14:val="tx1"/>
            </w14:solidFill>
          </w14:textFill>
        </w:rPr>
        <w:t>14. 竣工结算</w:t>
      </w:r>
      <w:bookmarkEnd w:id="517"/>
    </w:p>
    <w:p w14:paraId="7DE5004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14.1 竣工结算申请</w:t>
      </w:r>
    </w:p>
    <w:p w14:paraId="147614B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承包人提交竣工结算申请单的期限：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305D1D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竣工结算申请单应包括的内容：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除通用条款约定外，还包括施工图、竣工资料等原件，要求随竣工结算申请单一同提交发包人 </w:t>
      </w:r>
      <w:r>
        <w:rPr>
          <w:rFonts w:hint="eastAsia" w:ascii="宋体" w:hAnsi="宋体" w:eastAsia="宋体" w:cs="宋体"/>
          <w:color w:val="000000" w:themeColor="text1"/>
          <w:sz w:val="22"/>
          <w:szCs w:val="22"/>
          <w:highlight w:val="none"/>
          <w14:textFill>
            <w14:solidFill>
              <w14:schemeClr w14:val="tx1"/>
            </w14:solidFill>
          </w14:textFill>
        </w:rPr>
        <w:t>。</w:t>
      </w:r>
    </w:p>
    <w:p w14:paraId="4BCB0AF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14.2 竣工结算审核</w:t>
      </w:r>
    </w:p>
    <w:p w14:paraId="7A79067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发包人审批竣工付款申请单的期限：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按招标文件约定的工程款支付条款约定付款 </w:t>
      </w:r>
      <w:r>
        <w:rPr>
          <w:rFonts w:hint="eastAsia" w:ascii="宋体" w:hAnsi="宋体" w:eastAsia="宋体" w:cs="宋体"/>
          <w:color w:val="000000" w:themeColor="text1"/>
          <w:sz w:val="22"/>
          <w:szCs w:val="22"/>
          <w:highlight w:val="none"/>
          <w14:textFill>
            <w14:solidFill>
              <w14:schemeClr w14:val="tx1"/>
            </w14:solidFill>
          </w14:textFill>
        </w:rPr>
        <w:t>。</w:t>
      </w:r>
    </w:p>
    <w:p w14:paraId="5BA3166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发包人完成竣工付款的期限：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按财政部、建设部联合颁发的《建设工程价款结算暂行办法》（财建[2004]369号）执行  </w:t>
      </w:r>
      <w:r>
        <w:rPr>
          <w:rFonts w:hint="eastAsia" w:ascii="宋体" w:hAnsi="宋体" w:eastAsia="宋体" w:cs="宋体"/>
          <w:color w:val="000000" w:themeColor="text1"/>
          <w:sz w:val="22"/>
          <w:szCs w:val="22"/>
          <w:highlight w:val="none"/>
          <w14:textFill>
            <w14:solidFill>
              <w14:schemeClr w14:val="tx1"/>
            </w14:solidFill>
          </w14:textFill>
        </w:rPr>
        <w:t>。</w:t>
      </w:r>
    </w:p>
    <w:p w14:paraId="306D532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关于竣工付款证书异议部分复核的方式和程序：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50031025">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14.4 最终结清</w:t>
      </w:r>
    </w:p>
    <w:p w14:paraId="65C365E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14.4.1 最终结清申请单</w:t>
      </w:r>
    </w:p>
    <w:p w14:paraId="13AFB24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承包人提交最终结清申请单的份数：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5BE1BFF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承包人提交最终结算申请单的期限：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7FDB42C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14.4.2 最终结清证书和支付</w:t>
      </w:r>
    </w:p>
    <w:p w14:paraId="19D1AB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（1）发包人完成最终结清申请单的审批并颁发最终结清证书的期限：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按通用条款执行 </w:t>
      </w:r>
      <w:r>
        <w:rPr>
          <w:rFonts w:hint="eastAsia" w:ascii="宋体" w:hAnsi="宋体" w:eastAsia="宋体" w:cs="宋体"/>
          <w:color w:val="000000" w:themeColor="text1"/>
          <w:sz w:val="22"/>
          <w:szCs w:val="22"/>
          <w:highlight w:val="none"/>
          <w14:textFill>
            <w14:solidFill>
              <w14:schemeClr w14:val="tx1"/>
            </w14:solidFill>
          </w14:textFill>
        </w:rPr>
        <w:t>。</w:t>
      </w:r>
    </w:p>
    <w:p w14:paraId="51F25B2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（2）发包人完成支付的期限：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bookmarkEnd w:id="504"/>
    <w:bookmarkEnd w:id="505"/>
    <w:bookmarkEnd w:id="506"/>
    <w:bookmarkEnd w:id="507"/>
    <w:bookmarkEnd w:id="508"/>
    <w:bookmarkEnd w:id="509"/>
    <w:bookmarkEnd w:id="510"/>
    <w:bookmarkEnd w:id="516"/>
    <w:p w14:paraId="026FEF4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18" w:name="_Toc351203647"/>
      <w:bookmarkStart w:id="519" w:name="_Toc267251483"/>
      <w:bookmarkStart w:id="520" w:name="_Toc267251482"/>
      <w:bookmarkStart w:id="521" w:name="_Toc267251484"/>
      <w:bookmarkStart w:id="522" w:name="_Toc267251485"/>
      <w:bookmarkStart w:id="523" w:name="_Toc267251489"/>
      <w:bookmarkStart w:id="524" w:name="_Toc267251490"/>
      <w:bookmarkStart w:id="525" w:name="_Toc267251488"/>
      <w:bookmarkStart w:id="526" w:name="_Toc267251486"/>
      <w:bookmarkStart w:id="527" w:name="_Toc267251492"/>
      <w:bookmarkStart w:id="528" w:name="_Toc267251497"/>
      <w:bookmarkStart w:id="529" w:name="_Toc267251501"/>
      <w:bookmarkStart w:id="530" w:name="_Toc267251498"/>
      <w:bookmarkStart w:id="531" w:name="_Toc267251491"/>
      <w:bookmarkStart w:id="532" w:name="_Toc267251495"/>
      <w:bookmarkStart w:id="533" w:name="_Toc267251502"/>
      <w:bookmarkStart w:id="534" w:name="_Toc267251499"/>
      <w:bookmarkStart w:id="535" w:name="_Toc267251496"/>
      <w:bookmarkStart w:id="536" w:name="_Toc267251494"/>
      <w:bookmarkStart w:id="537" w:name="_Toc267251493"/>
      <w:bookmarkStart w:id="538" w:name="_Toc267251503"/>
      <w:bookmarkStart w:id="539" w:name="_Toc267251504"/>
      <w:bookmarkStart w:id="540" w:name="_Toc267251506"/>
      <w:bookmarkStart w:id="541" w:name="_Toc267251507"/>
      <w:bookmarkStart w:id="542" w:name="_Toc267251508"/>
      <w:bookmarkStart w:id="543" w:name="_Toc267251515"/>
      <w:bookmarkStart w:id="544" w:name="_Toc267251509"/>
      <w:bookmarkStart w:id="545" w:name="_Toc267251513"/>
      <w:bookmarkStart w:id="546" w:name="_Toc267251510"/>
      <w:bookmarkStart w:id="547" w:name="_Toc267251511"/>
      <w:bookmarkStart w:id="548" w:name="_Toc267251514"/>
      <w:r>
        <w:rPr>
          <w:rFonts w:hint="eastAsia" w:ascii="宋体" w:hAnsi="宋体" w:eastAsia="宋体" w:cs="宋体"/>
          <w:color w:val="000000" w:themeColor="text1"/>
          <w:sz w:val="22"/>
          <w:szCs w:val="22"/>
          <w:highlight w:val="none"/>
          <w14:textFill>
            <w14:solidFill>
              <w14:schemeClr w14:val="tx1"/>
            </w14:solidFill>
          </w14:textFill>
        </w:rPr>
        <w:t>15. 缺陷责任期与保修</w:t>
      </w:r>
      <w:bookmarkEnd w:id="518"/>
    </w:p>
    <w:p w14:paraId="13E3506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15.2缺陷责任期</w:t>
      </w:r>
      <w:bookmarkEnd w:id="519"/>
    </w:p>
    <w:p w14:paraId="002817F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缺陷责任期的具体期限：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12</w:t>
      </w:r>
      <w:r>
        <w:rPr>
          <w:rFonts w:hint="eastAsia" w:ascii="宋体" w:hAnsi="宋体" w:eastAsia="宋体" w:cs="宋体"/>
          <w:color w:val="000000" w:themeColor="text1"/>
          <w:sz w:val="22"/>
          <w:szCs w:val="22"/>
          <w:highlight w:val="none"/>
          <w:u w:val="single"/>
          <w14:textFill>
            <w14:solidFill>
              <w14:schemeClr w14:val="tx1"/>
            </w14:solidFill>
          </w14:textFill>
        </w:rPr>
        <w:t xml:space="preserve">个月  </w:t>
      </w:r>
      <w:r>
        <w:rPr>
          <w:rFonts w:hint="eastAsia" w:ascii="宋体" w:hAnsi="宋体" w:eastAsia="宋体" w:cs="宋体"/>
          <w:color w:val="000000" w:themeColor="text1"/>
          <w:sz w:val="22"/>
          <w:szCs w:val="22"/>
          <w:highlight w:val="none"/>
          <w14:textFill>
            <w14:solidFill>
              <w14:schemeClr w14:val="tx1"/>
            </w14:solidFill>
          </w14:textFill>
        </w:rPr>
        <w:t>。</w:t>
      </w:r>
    </w:p>
    <w:p w14:paraId="6637189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15.3 质量保证金</w:t>
      </w:r>
    </w:p>
    <w:p w14:paraId="667A7CF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关于是否扣留质量保证金的约定：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是  </w:t>
      </w:r>
      <w:r>
        <w:rPr>
          <w:rFonts w:hint="eastAsia" w:ascii="宋体" w:hAnsi="宋体" w:eastAsia="宋体" w:cs="宋体"/>
          <w:color w:val="000000" w:themeColor="text1"/>
          <w:sz w:val="22"/>
          <w:szCs w:val="22"/>
          <w:highlight w:val="none"/>
          <w14:textFill>
            <w14:solidFill>
              <w14:schemeClr w14:val="tx1"/>
            </w14:solidFill>
          </w14:textFill>
        </w:rPr>
        <w:t>。在工程项目竣工前，承包人按专用合同条款第3.7条提供履约担保的，发包人不得同时预留工程质量保证金。</w:t>
      </w:r>
    </w:p>
    <w:p w14:paraId="7DB4DD5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15.3.1 承包人提供质量保证金的方式</w:t>
      </w:r>
    </w:p>
    <w:p w14:paraId="1EEE00D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质量保证金采用以下第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种方式：</w:t>
      </w:r>
    </w:p>
    <w:p w14:paraId="095C287A">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（1）质量保证金保函，保证金额为：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7FCAEF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w:t>
      </w:r>
      <w:r>
        <w:rPr>
          <w:rFonts w:hint="eastAsia" w:ascii="宋体" w:hAnsi="宋体" w:eastAsia="宋体" w:cs="宋体"/>
          <w:color w:val="000000" w:themeColor="text1"/>
          <w:sz w:val="22"/>
          <w:szCs w:val="22"/>
          <w:highlight w:val="none"/>
          <w14:textFill>
            <w14:solidFill>
              <w14:schemeClr w14:val="tx1"/>
            </w14:solidFill>
          </w14:textFill>
        </w:rPr>
        <w:t>%的工程款；</w:t>
      </w:r>
    </w:p>
    <w:p w14:paraId="46D5430E">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（3）其他方式: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BFEA90B">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15.3.2 质量保证金的扣留 </w:t>
      </w:r>
    </w:p>
    <w:p w14:paraId="71EEC69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质量保证金的扣留采取以下第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种方式：</w:t>
      </w:r>
    </w:p>
    <w:p w14:paraId="30795E3B">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（1）在支付工程进度款时逐次扣留，在此情形下，质量保证金的计算基数不包括预付款的支付、扣回以及价格调整的金额；</w:t>
      </w:r>
    </w:p>
    <w:p w14:paraId="3BE98A1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（2）工程竣工结算时一次性扣留质量保证金；</w:t>
      </w:r>
    </w:p>
    <w:p w14:paraId="7CBBD45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（3）其他扣留方式: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752D7B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关于质量保证金的补充约定：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在缺陷责任期内，因承包人原因造成工程缺陷、损坏的，承包人未能及时修复的，发包人可直接委托第三方修复，所需费用由承包人承担，缺陷责任期满将剩余部分退还承包人  </w:t>
      </w:r>
      <w:r>
        <w:rPr>
          <w:rFonts w:hint="eastAsia" w:ascii="宋体" w:hAnsi="宋体" w:eastAsia="宋体" w:cs="宋体"/>
          <w:color w:val="000000" w:themeColor="text1"/>
          <w:sz w:val="22"/>
          <w:szCs w:val="22"/>
          <w:highlight w:val="none"/>
          <w14:textFill>
            <w14:solidFill>
              <w14:schemeClr w14:val="tx1"/>
            </w14:solidFill>
          </w14:textFill>
        </w:rPr>
        <w:t>。</w:t>
      </w:r>
    </w:p>
    <w:bookmarkEnd w:id="520"/>
    <w:bookmarkEnd w:id="521"/>
    <w:p w14:paraId="262741E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15.4保修</w:t>
      </w:r>
    </w:p>
    <w:bookmarkEnd w:id="522"/>
    <w:p w14:paraId="55672487">
      <w:pPr>
        <w:pageBreakBefore w:val="0"/>
        <w:kinsoku/>
        <w:wordWrap/>
        <w:overflowPunct/>
        <w:topLinePunct w:val="0"/>
        <w:bidi w:val="0"/>
        <w:snapToGrid/>
        <w:spacing w:line="400" w:lineRule="exact"/>
        <w:ind w:firstLine="429" w:firstLineChars="195"/>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15.4.1 保修责任</w:t>
      </w:r>
    </w:p>
    <w:p w14:paraId="583B3E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工程保修期为：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按国家相关规定 </w:t>
      </w:r>
      <w:r>
        <w:rPr>
          <w:rFonts w:hint="eastAsia" w:ascii="宋体" w:hAnsi="宋体" w:eastAsia="宋体" w:cs="宋体"/>
          <w:color w:val="000000" w:themeColor="text1"/>
          <w:sz w:val="22"/>
          <w:szCs w:val="22"/>
          <w:highlight w:val="none"/>
          <w14:textFill>
            <w14:solidFill>
              <w14:schemeClr w14:val="tx1"/>
            </w14:solidFill>
          </w14:textFill>
        </w:rPr>
        <w:t>。</w:t>
      </w:r>
    </w:p>
    <w:p w14:paraId="39EBD365">
      <w:pPr>
        <w:pageBreakBefore w:val="0"/>
        <w:kinsoku/>
        <w:wordWrap/>
        <w:overflowPunct/>
        <w:topLinePunct w:val="0"/>
        <w:bidi w:val="0"/>
        <w:snapToGrid/>
        <w:spacing w:line="400" w:lineRule="exact"/>
        <w:ind w:firstLine="429" w:firstLineChars="195"/>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15.4.3 修复通知</w:t>
      </w:r>
    </w:p>
    <w:p w14:paraId="5B1AC72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承包人收到保修通知并到达工程现场的合理时间：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1、属于保修范围、内容的项目，承包人应当在接到保修通知之日起 1 天内派人保修。承包人不在约定期限内派人保修的，发包人可以委托他人修理。2、发生紧急抢修事故的，承包人在接到事故通知后，应当立即到达事故现场抢修；承包人不按时派人保修的，发包人可以委托他人修理，所发生的费用由承包人承担 </w:t>
      </w:r>
      <w:r>
        <w:rPr>
          <w:rFonts w:hint="eastAsia" w:ascii="宋体" w:hAnsi="宋体" w:eastAsia="宋体" w:cs="宋体"/>
          <w:color w:val="000000" w:themeColor="text1"/>
          <w:sz w:val="22"/>
          <w:szCs w:val="22"/>
          <w:highlight w:val="none"/>
          <w14:textFill>
            <w14:solidFill>
              <w14:schemeClr w14:val="tx1"/>
            </w14:solidFill>
          </w14:textFill>
        </w:rPr>
        <w:t>。</w:t>
      </w:r>
    </w:p>
    <w:bookmarkEnd w:id="523"/>
    <w:bookmarkEnd w:id="524"/>
    <w:bookmarkEnd w:id="525"/>
    <w:bookmarkEnd w:id="526"/>
    <w:p w14:paraId="670AB531">
      <w:pPr>
        <w:pStyle w:val="6"/>
        <w:pageBreakBefore w:val="0"/>
        <w:kinsoku/>
        <w:wordWrap/>
        <w:overflowPunct/>
        <w:topLinePunct w:val="0"/>
        <w:bidi w:val="0"/>
        <w:snapToGrid/>
        <w:spacing w:before="0" w:after="0"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49" w:name="_Toc351203648"/>
      <w:bookmarkStart w:id="550" w:name="_Toc280868717"/>
      <w:bookmarkStart w:id="551" w:name="_Toc280868718"/>
      <w:r>
        <w:rPr>
          <w:rFonts w:hint="eastAsia" w:ascii="宋体" w:hAnsi="宋体" w:eastAsia="宋体" w:cs="宋体"/>
          <w:color w:val="000000" w:themeColor="text1"/>
          <w:sz w:val="22"/>
          <w:szCs w:val="22"/>
          <w:highlight w:val="none"/>
          <w14:textFill>
            <w14:solidFill>
              <w14:schemeClr w14:val="tx1"/>
            </w14:solidFill>
          </w14:textFill>
        </w:rPr>
        <w:t>16. 违约</w:t>
      </w:r>
      <w:bookmarkEnd w:id="549"/>
    </w:p>
    <w:p w14:paraId="720B83A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 发包人违约</w:t>
      </w:r>
    </w:p>
    <w:p w14:paraId="126285D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16.1.1发包人违约的情形</w:t>
      </w:r>
    </w:p>
    <w:p w14:paraId="662BB1B5">
      <w:pPr>
        <w:pageBreakBefore w:val="0"/>
        <w:kinsoku/>
        <w:wordWrap/>
        <w:overflowPunct/>
        <w:topLinePunct w:val="0"/>
        <w:bidi w:val="0"/>
        <w:snapToGrid/>
        <w:spacing w:line="400" w:lineRule="exact"/>
        <w:ind w:left="1097" w:leftChars="208" w:hanging="660" w:hangingChars="3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发包人违约的其他情形：</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按延误的天数顺延工期 </w:t>
      </w:r>
      <w:r>
        <w:rPr>
          <w:rFonts w:hint="eastAsia" w:ascii="宋体" w:hAnsi="宋体" w:eastAsia="宋体" w:cs="宋体"/>
          <w:color w:val="000000" w:themeColor="text1"/>
          <w:sz w:val="22"/>
          <w:szCs w:val="22"/>
          <w:highlight w:val="none"/>
          <w14:textFill>
            <w14:solidFill>
              <w14:schemeClr w14:val="tx1"/>
            </w14:solidFill>
          </w14:textFill>
        </w:rPr>
        <w:t>。</w:t>
      </w:r>
    </w:p>
    <w:p w14:paraId="25148601">
      <w:pPr>
        <w:pageBreakBefore w:val="0"/>
        <w:kinsoku/>
        <w:wordWrap/>
        <w:overflowPunct/>
        <w:topLinePunct w:val="0"/>
        <w:bidi w:val="0"/>
        <w:snapToGrid/>
        <w:spacing w:line="400" w:lineRule="exact"/>
        <w:ind w:left="1100" w:hanging="1100" w:hangingChars="5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16.1.2 发包人违约的责任</w:t>
      </w:r>
    </w:p>
    <w:p w14:paraId="33F2D18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发包人违约责任的承担方式和计算方法：</w:t>
      </w:r>
    </w:p>
    <w:p w14:paraId="48F7229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（1）因发包人原因未能在计划开工日期前7天内下达开工通知的违约责任：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按延误的天数顺延工期  </w:t>
      </w:r>
      <w:r>
        <w:rPr>
          <w:rFonts w:hint="eastAsia" w:ascii="宋体" w:hAnsi="宋体" w:eastAsia="宋体" w:cs="宋体"/>
          <w:color w:val="000000" w:themeColor="text1"/>
          <w:sz w:val="22"/>
          <w:szCs w:val="22"/>
          <w:highlight w:val="none"/>
          <w14:textFill>
            <w14:solidFill>
              <w14:schemeClr w14:val="tx1"/>
            </w14:solidFill>
          </w14:textFill>
        </w:rPr>
        <w:t>。</w:t>
      </w:r>
    </w:p>
    <w:p w14:paraId="6BC72F0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（2）因发包人原因未能按合同约定支付合同价款的违约责任：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若发包人在工程实施过程中不能按照合同文件中约定的付款时间进行付款，中标的承包人应及时向发包人发出要求付款的通知，发包人收到承包人通知后仍不能按要求付款，可与承包人协商签订延期付款协议，协议应明确延期支付的时间和从工程量计量结果确认后第15天起计算应付款的利息，利息按同期人民银行贷款利息计算  </w:t>
      </w:r>
      <w:r>
        <w:rPr>
          <w:rFonts w:hint="eastAsia" w:ascii="宋体" w:hAnsi="宋体" w:eastAsia="宋体" w:cs="宋体"/>
          <w:color w:val="000000" w:themeColor="text1"/>
          <w:sz w:val="22"/>
          <w:szCs w:val="22"/>
          <w:highlight w:val="none"/>
          <w14:textFill>
            <w14:solidFill>
              <w14:schemeClr w14:val="tx1"/>
            </w14:solidFill>
          </w14:textFill>
        </w:rPr>
        <w:t>。</w:t>
      </w:r>
    </w:p>
    <w:p w14:paraId="715F160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（3）发包人违反第10.1款〔变更的范围〕第（2）项约定，自行实施被取消的工作或转由他人实施的违约责任：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5C87F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601115A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（5）因发包人违反合同约定造成暂停施工的违约责任：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653BFEA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（6）发包人无正当理由没有在约定期限内发出复工指示，导致承包人无法复工的违约责任：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74AEC51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（7）其他：</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0509C0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上述（1）-（7）应作具体明确</w:t>
      </w:r>
    </w:p>
    <w:p w14:paraId="0F7A9C9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16.1.3 因发包人违约解除合同</w:t>
      </w:r>
    </w:p>
    <w:p w14:paraId="7B8B75B5">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承包人按16.1.1项〔发包人违约的情形〕约定暂停施工满</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天后发包人仍不纠正其违约行为并致使合同目的不能实现的，承包人有权解除合同。</w:t>
      </w:r>
    </w:p>
    <w:p w14:paraId="63DD25D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 承包人违约</w:t>
      </w:r>
    </w:p>
    <w:p w14:paraId="5A06153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16.2.1 承包人违约的情形</w:t>
      </w:r>
    </w:p>
    <w:p w14:paraId="291100C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承包人违约的其他情形：</w:t>
      </w:r>
    </w:p>
    <w:p w14:paraId="77035C4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(1)本项目开工时间以发包人和监理工程师批准的开工报告日期为准。如遇特殊情况推迟开工，合同工期相应顺延。承包人应按照投标文件承诺的工期确保工程验收，不得以任何借口停工怠工。如因承包人原因延误工期的，承包人应承担违约责任，按每拖延一天向发包人支付2000元的违约金，此违约金在履约保证金中扣除。如因不可抗力或发包人原因造成工期延误的，工期相应顺延，但承包人必须有发包人的书面签证作为依据，否则视为承包人延期处理。如因发包人原因并且符合工程工期顺延的情况，经监理和发包人签证确认后顺延。</w:t>
      </w:r>
    </w:p>
    <w:p w14:paraId="1823A21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(2)中标后，承包人应重新编制详细的工程施工进度计划报发包人批准。承包人严格按照经发包人批准的施工计划组织工程施工。接受发包人对进度的检查、监督，工程实际进度与经确认的进度计划不符时，承包人应按发包人的要求提出书面改进措施方案，并经发包人确认后执行。因承包人的原因导致实际进度与进度计划不符，承包人无权就改进措施提出追加合同价款。</w:t>
      </w:r>
    </w:p>
    <w:p w14:paraId="047146C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 承包人应当按照开工令的开工日期开工。承包人不能按时开工，应当不迟于合同约定的开工日期前7天，以书面形式向发包人提出延期开工的理由和要求。发包人应当在接到延期开工申请后的48小时内以书面形式答复承包人，发包人在接到延期开工申请后的48小时内不答复，视为同意承包人的要求，工期相应顺延。发包人不同意延期要求或承包人未在规定时间内提出延期开工要求，工期不予顺延。</w:t>
      </w:r>
    </w:p>
    <w:p w14:paraId="17A240D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(4)承包人施工时必须服从发包人和监理工程师对施工场地和施工时间的统一管理。与相关施工单位密切配合决不扯皮，如有问题以发包人意见为准，如不服从根据实际情况每次罚款叁仟元，如造成工期延误的，视为承包人违约，并按照合同约定承担逾期违约责任。承包人应充分考虑施工环境、施工部位和施工季节的特殊性，在应遵守地方政府规定的前提下确保工期和质量，自行处理各方关系，费用自理。</w:t>
      </w:r>
    </w:p>
    <w:p w14:paraId="4CD6B77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(5)因承包方原因，工程在中间交验过程中，不能达到招标和合同要求（工期、质量），累计拖延工期达一个月以上，且承包人拿不出让发包人满意的追赶工期计划，承包人除承担违约责任外，发包人有权拒付（缓付）工程款，并酌情调整施工队伍直至清除出场，承包人承诺无条件服从并承担由此发生的一切费用和损失。</w:t>
      </w:r>
    </w:p>
    <w:p w14:paraId="3FB45CB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(6) 如果一次性验收不合格，除按本合同约定规定实行处罚外，承包人必须无偿整改达到规定质量标准并承担由此造成的损失和费用。</w:t>
      </w:r>
    </w:p>
    <w:p w14:paraId="4A82B57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16.2.2承包人违约的责任</w:t>
      </w:r>
    </w:p>
    <w:p w14:paraId="0F611BB8">
      <w:pPr>
        <w:pageBreakBefore w:val="0"/>
        <w:kinsoku/>
        <w:wordWrap/>
        <w:overflowPunct/>
        <w:topLinePunct w:val="0"/>
        <w:bidi w:val="0"/>
        <w:snapToGrid/>
        <w:spacing w:line="400" w:lineRule="exact"/>
        <w:ind w:left="1097" w:leftChars="208" w:hanging="660" w:hangingChars="3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承包人违约责任的承担方式和计算方法：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由承包人承担全部责任并承担相关费用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3E24332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16.2.3 因承包人违约解除合同</w:t>
      </w:r>
    </w:p>
    <w:p w14:paraId="57130D4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关于承包人违约解除合同的特别约定：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6034F594">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发包人继续使用承包人在施工现场的材料、设备、临时工程、承包人文件和由承包人或以其名义编制的其他文件的费用承担方式：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485351B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52" w:name="_Toc351203649"/>
      <w:r>
        <w:rPr>
          <w:rFonts w:hint="eastAsia" w:ascii="宋体" w:hAnsi="宋体" w:eastAsia="宋体" w:cs="宋体"/>
          <w:color w:val="000000" w:themeColor="text1"/>
          <w:sz w:val="22"/>
          <w:szCs w:val="22"/>
          <w:highlight w:val="none"/>
          <w14:textFill>
            <w14:solidFill>
              <w14:schemeClr w14:val="tx1"/>
            </w14:solidFill>
          </w14:textFill>
        </w:rPr>
        <w:t>17. 不可抗力</w:t>
      </w:r>
      <w:bookmarkEnd w:id="550"/>
      <w:bookmarkEnd w:id="552"/>
    </w:p>
    <w:p w14:paraId="45C857BD">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17.1 不可抗力的确认</w:t>
      </w:r>
    </w:p>
    <w:p w14:paraId="51F41A6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除通用合同条款约定的不可抗力事件之外，视为不可抗力的其他情形：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43E998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17.4 因不可抗力解除合同</w:t>
      </w:r>
    </w:p>
    <w:p w14:paraId="6A4F3AC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合同解除后，发包人应在商定或确定发包人应支付款项后</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30 </w:t>
      </w:r>
      <w:r>
        <w:rPr>
          <w:rFonts w:hint="eastAsia" w:ascii="宋体" w:hAnsi="宋体" w:eastAsia="宋体" w:cs="宋体"/>
          <w:color w:val="000000" w:themeColor="text1"/>
          <w:sz w:val="22"/>
          <w:szCs w:val="22"/>
          <w:highlight w:val="none"/>
          <w14:textFill>
            <w14:solidFill>
              <w14:schemeClr w14:val="tx1"/>
            </w14:solidFill>
          </w14:textFill>
        </w:rPr>
        <w:t>天内完成款项的支付。</w:t>
      </w:r>
    </w:p>
    <w:p w14:paraId="71EC254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53" w:name="_Toc351203650"/>
      <w:r>
        <w:rPr>
          <w:rFonts w:hint="eastAsia" w:ascii="宋体" w:hAnsi="宋体" w:eastAsia="宋体" w:cs="宋体"/>
          <w:color w:val="000000" w:themeColor="text1"/>
          <w:sz w:val="22"/>
          <w:szCs w:val="22"/>
          <w:highlight w:val="none"/>
          <w14:textFill>
            <w14:solidFill>
              <w14:schemeClr w14:val="tx1"/>
            </w14:solidFill>
          </w14:textFill>
        </w:rPr>
        <w:t>18. 保险</w:t>
      </w:r>
      <w:bookmarkEnd w:id="553"/>
    </w:p>
    <w:bookmarkEnd w:id="551"/>
    <w:p w14:paraId="7D14CA1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18.1 工程保险</w:t>
      </w:r>
    </w:p>
    <w:p w14:paraId="287C35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关于工程保险的特别约定：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A47928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18.3 其他保险</w:t>
      </w:r>
    </w:p>
    <w:p w14:paraId="5452A8F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关于其他保险的约定：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73BB74A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承包人是否应为其施工设备等办理财产保险：</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w:t>
      </w:r>
      <w:r>
        <w:rPr>
          <w:rFonts w:hint="eastAsia" w:ascii="宋体" w:hAnsi="宋体" w:eastAsia="宋体" w:cs="宋体"/>
          <w:color w:val="000000" w:themeColor="text1"/>
          <w:sz w:val="22"/>
          <w:szCs w:val="22"/>
          <w:highlight w:val="none"/>
          <w14:textFill>
            <w14:solidFill>
              <w14:schemeClr w14:val="tx1"/>
            </w14:solidFill>
          </w14:textFill>
        </w:rPr>
        <w:t>。</w:t>
      </w:r>
    </w:p>
    <w:p w14:paraId="46AEE74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18.7 通知义务</w:t>
      </w:r>
    </w:p>
    <w:p w14:paraId="387B87E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关于变更保险合同时的通知义务的约定：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bookmarkEnd w:id="527"/>
    <w:bookmarkEnd w:id="528"/>
    <w:bookmarkEnd w:id="529"/>
    <w:bookmarkEnd w:id="530"/>
    <w:bookmarkEnd w:id="531"/>
    <w:bookmarkEnd w:id="532"/>
    <w:bookmarkEnd w:id="533"/>
    <w:bookmarkEnd w:id="534"/>
    <w:bookmarkEnd w:id="535"/>
    <w:bookmarkEnd w:id="536"/>
    <w:bookmarkEnd w:id="537"/>
    <w:bookmarkEnd w:id="538"/>
    <w:p w14:paraId="0680D47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54" w:name="_Toc351203651"/>
      <w:r>
        <w:rPr>
          <w:rFonts w:hint="eastAsia" w:ascii="宋体" w:hAnsi="宋体" w:eastAsia="宋体" w:cs="宋体"/>
          <w:color w:val="000000" w:themeColor="text1"/>
          <w:sz w:val="22"/>
          <w:szCs w:val="22"/>
          <w:highlight w:val="none"/>
          <w14:textFill>
            <w14:solidFill>
              <w14:schemeClr w14:val="tx1"/>
            </w14:solidFill>
          </w14:textFill>
        </w:rPr>
        <w:t>20. 争议解决</w:t>
      </w:r>
      <w:bookmarkEnd w:id="554"/>
    </w:p>
    <w:bookmarkEnd w:id="539"/>
    <w:bookmarkEnd w:id="540"/>
    <w:p w14:paraId="50AD753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20.3 争</w:t>
      </w:r>
      <w:bookmarkEnd w:id="541"/>
      <w:r>
        <w:rPr>
          <w:rFonts w:hint="eastAsia" w:ascii="宋体" w:hAnsi="宋体" w:eastAsia="宋体" w:cs="宋体"/>
          <w:color w:val="000000" w:themeColor="text1"/>
          <w:sz w:val="22"/>
          <w:szCs w:val="22"/>
          <w:highlight w:val="none"/>
          <w14:textFill>
            <w14:solidFill>
              <w14:schemeClr w14:val="tx1"/>
            </w14:solidFill>
          </w14:textFill>
        </w:rPr>
        <w:t>议评审</w:t>
      </w:r>
    </w:p>
    <w:p w14:paraId="70E6778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合同当事人是否同意将工程争议提交争议评审小组决定：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57D63B0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20.3.1 争议评审小组的确定</w:t>
      </w:r>
    </w:p>
    <w:p w14:paraId="5F4B152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争议评审小组成员的确定：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CD558B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选定争议评审员的期限：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24E6E29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争议评审小组成员的报酬承担方式：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2C23B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其他事项的约定：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5F6F5DB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20.3.2 争议评审小组的决定</w:t>
      </w:r>
    </w:p>
    <w:p w14:paraId="178E8FC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合同当事人关于本项的约定：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DD096A4">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20.4仲裁或诉讼</w:t>
      </w:r>
      <w:bookmarkEnd w:id="542"/>
    </w:p>
    <w:p w14:paraId="0086314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因合同及合同有关事项发生的争议，按下列第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种方式解决：</w:t>
      </w:r>
    </w:p>
    <w:p w14:paraId="34F3C95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（1）向</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响水县</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仲裁委员会申请仲裁；</w:t>
      </w:r>
    </w:p>
    <w:p w14:paraId="2EDF4DE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（2）向</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工程所在地     </w:t>
      </w:r>
      <w:r>
        <w:rPr>
          <w:rFonts w:hint="eastAsia" w:ascii="宋体" w:hAnsi="宋体" w:eastAsia="宋体" w:cs="宋体"/>
          <w:color w:val="000000" w:themeColor="text1"/>
          <w:sz w:val="22"/>
          <w:szCs w:val="22"/>
          <w:highlight w:val="none"/>
          <w14:textFill>
            <w14:solidFill>
              <w14:schemeClr w14:val="tx1"/>
            </w14:solidFill>
          </w14:textFill>
        </w:rPr>
        <w:t>人民法院起诉。</w:t>
      </w:r>
      <w:bookmarkEnd w:id="543"/>
      <w:bookmarkEnd w:id="544"/>
      <w:bookmarkEnd w:id="545"/>
      <w:bookmarkEnd w:id="546"/>
      <w:bookmarkEnd w:id="547"/>
      <w:bookmarkEnd w:id="548"/>
    </w:p>
    <w:p w14:paraId="3DF53284">
      <w:pPr>
        <w:spacing w:line="440" w:lineRule="exact"/>
        <w:ind w:firstLine="482"/>
        <w:contextualSpacing/>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br w:type="page"/>
      </w:r>
    </w:p>
    <w:p w14:paraId="29B05FE0">
      <w:pPr>
        <w:spacing w:before="145" w:beforeLines="50" w:after="145" w:afterLines="50" w:line="440" w:lineRule="exact"/>
        <w:jc w:val="cente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工程质量保修书</w:t>
      </w:r>
    </w:p>
    <w:p w14:paraId="67A5A4A1">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发包人（全称）：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江苏响水经济开发区东风社区居民委员会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1045D09A">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承包人（全称）：</w:t>
      </w:r>
    </w:p>
    <w:p w14:paraId="56BBABD4">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发包人和承包人根据《中华人民共和国建筑法》和《建设工程质量管理条例》，经协商一致就</w:t>
      </w:r>
      <w:r>
        <w:rPr>
          <w:rFonts w:hint="eastAsia" w:ascii="宋体" w:hAnsi="宋体" w:cs="宋体"/>
          <w:color w:val="000000" w:themeColor="text1"/>
          <w:sz w:val="22"/>
          <w:szCs w:val="22"/>
          <w:highlight w:val="none"/>
          <w:lang w:eastAsia="zh-CN"/>
          <w14:textFill>
            <w14:solidFill>
              <w14:schemeClr w14:val="tx1"/>
            </w14:solidFill>
          </w14:textFill>
        </w:rPr>
        <w:t>响水县开发区东风社区道路维修工程</w:t>
      </w:r>
      <w:r>
        <w:rPr>
          <w:rFonts w:hint="eastAsia" w:ascii="宋体" w:hAnsi="宋体" w:eastAsia="宋体" w:cs="宋体"/>
          <w:color w:val="000000" w:themeColor="text1"/>
          <w:sz w:val="22"/>
          <w:szCs w:val="22"/>
          <w:highlight w:val="none"/>
          <w14:textFill>
            <w14:solidFill>
              <w14:schemeClr w14:val="tx1"/>
            </w14:solidFill>
          </w14:textFill>
        </w:rPr>
        <w:t>签订工程质量保修书。</w:t>
      </w:r>
    </w:p>
    <w:p w14:paraId="4BF5C3DC">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一、工程质量保修范围和内容</w:t>
      </w:r>
    </w:p>
    <w:p w14:paraId="7580858C">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承包人在质量保修期内，按照有关法律规定和合同约定，承担工程质量保修责任。</w:t>
      </w:r>
    </w:p>
    <w:p w14:paraId="500FDC58">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766B6DB">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 xml:space="preserve">按《建设工程质量管理条例》等法律法规规定执行。从该工程交工验收合格之日起至该工程约定保修期满之日止为保修期内。保修期内若因承包人施工责任引起的质量缺陷，承包人应在本保修书约定期限内派人到场保修，并承担保修责任及保修费用；承包人若不能在约定期限内派人到场保修的，可委托发包人委托他人保修，保修费用从发包人暂留的承包人质量保证金中扣除 </w:t>
      </w:r>
      <w:r>
        <w:rPr>
          <w:rFonts w:hint="eastAsia" w:ascii="宋体" w:hAnsi="宋体" w:eastAsia="宋体" w:cs="宋体"/>
          <w:color w:val="000000" w:themeColor="text1"/>
          <w:sz w:val="22"/>
          <w:szCs w:val="22"/>
          <w:highlight w:val="none"/>
          <w14:textFill>
            <w14:solidFill>
              <w14:schemeClr w14:val="tx1"/>
            </w14:solidFill>
          </w14:textFill>
        </w:rPr>
        <w:t>。</w:t>
      </w:r>
    </w:p>
    <w:p w14:paraId="42DF9127">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二、质量保修期</w:t>
      </w:r>
    </w:p>
    <w:p w14:paraId="29B7D93E">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根据《建设工程质量管理条例》及有关规定，工程的质量保修期如下：</w:t>
      </w:r>
    </w:p>
    <w:p w14:paraId="296F8DC4">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1．地基基础工程和主体结构工程为设计文件规定的工程合理使用年限；</w:t>
      </w:r>
    </w:p>
    <w:p w14:paraId="3BE400F6">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2．屋面防水工程、有防水要求的卫生间、房间和外墙面的防渗为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5    </w:t>
      </w:r>
      <w:r>
        <w:rPr>
          <w:rFonts w:hint="eastAsia" w:ascii="宋体" w:hAnsi="宋体" w:eastAsia="宋体" w:cs="宋体"/>
          <w:color w:val="000000" w:themeColor="text1"/>
          <w:sz w:val="22"/>
          <w:szCs w:val="22"/>
          <w:highlight w:val="none"/>
          <w14:textFill>
            <w14:solidFill>
              <w14:schemeClr w14:val="tx1"/>
            </w14:solidFill>
          </w14:textFill>
        </w:rPr>
        <w:t>年；</w:t>
      </w:r>
    </w:p>
    <w:p w14:paraId="5E9739A5">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3．装修工程为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年；</w:t>
      </w:r>
    </w:p>
    <w:p w14:paraId="6BB2C769">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4．电气管线、给排水管道、设备安装工程为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年；</w:t>
      </w:r>
    </w:p>
    <w:p w14:paraId="65454B80">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5．供热与供冷系统为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个采暖期、供冷期；</w:t>
      </w:r>
    </w:p>
    <w:p w14:paraId="70F47DCC">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6．住宅小区内的给排水设施、道路等配套工程为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年；</w:t>
      </w:r>
    </w:p>
    <w:p w14:paraId="25BCA829">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7．其他项目保修期限约定如下：</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1</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年。</w:t>
      </w:r>
    </w:p>
    <w:p w14:paraId="51D02429">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质量保修期自工程竣工验收合格之日起计算。</w:t>
      </w:r>
    </w:p>
    <w:p w14:paraId="5ADCDD75">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三、缺陷责任期</w:t>
      </w:r>
    </w:p>
    <w:p w14:paraId="3335C7BD">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工程缺陷责任期为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12</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个月，缺陷责任期自工程通过竣工验收之日起计算。单位工程先于全部工程进行验收，单位工程缺陷责任期自单位工程验收合格之日起算。</w:t>
      </w:r>
    </w:p>
    <w:p w14:paraId="1AC9D541">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缺陷责任期终止后，发包人应退还剩余的质量保证金。</w:t>
      </w:r>
    </w:p>
    <w:p w14:paraId="2309372E">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四、质量保修责任</w:t>
      </w:r>
    </w:p>
    <w:p w14:paraId="01314FF6">
      <w:pPr>
        <w:spacing w:line="480" w:lineRule="exact"/>
        <w:ind w:left="105" w:leftChars="50" w:firstLine="450" w:firstLineChars="2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1．属于保修范围、内容的项目，承包人应当在接到保修通知之日起7天内派人保修。承包人不在约定期限内派人保修的，发包人可以委托他人修理。</w:t>
      </w:r>
    </w:p>
    <w:p w14:paraId="3F755A49">
      <w:pPr>
        <w:spacing w:line="480" w:lineRule="exact"/>
        <w:ind w:left="105" w:leftChars="50" w:firstLine="450" w:firstLineChars="2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2．发生紧急事故需抢修的，承包人在接到事故通知后，应当立即到达事故现场抢修。</w:t>
      </w:r>
    </w:p>
    <w:p w14:paraId="7B79AC69">
      <w:pPr>
        <w:spacing w:line="480" w:lineRule="exact"/>
        <w:ind w:left="105" w:leftChars="50" w:firstLine="450" w:firstLineChars="2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BFD789E">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4．质量保修完成后，由发包人组织验收。</w:t>
      </w:r>
    </w:p>
    <w:p w14:paraId="418B004E">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五、保修费用</w:t>
      </w:r>
    </w:p>
    <w:p w14:paraId="032FDFC3">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保修费用由造成质量缺陷的责任方承担。</w:t>
      </w:r>
    </w:p>
    <w:p w14:paraId="7E5B4972">
      <w:pPr>
        <w:spacing w:line="480" w:lineRule="exact"/>
        <w:ind w:firstLine="442"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六</w:t>
      </w:r>
      <w:r>
        <w:rPr>
          <w:rFonts w:hint="eastAsia" w:ascii="宋体" w:hAnsi="宋体" w:eastAsia="宋体" w:cs="宋体"/>
          <w:color w:val="000000" w:themeColor="text1"/>
          <w:sz w:val="22"/>
          <w:szCs w:val="22"/>
          <w:highlight w:val="none"/>
          <w14:textFill>
            <w14:solidFill>
              <w14:schemeClr w14:val="tx1"/>
            </w14:solidFill>
          </w14:textFill>
        </w:rPr>
        <w:t>、双方约定的其他工程质量保修事项：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10C8FDF1">
      <w:pPr>
        <w:spacing w:line="480" w:lineRule="exact"/>
        <w:ind w:firstLine="418" w:firstLineChars="19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工程质量保修书由发包人、承包人在工程竣工验收前共同签署，作为施工合同附件，其有效期限至保修期满。</w:t>
      </w:r>
    </w:p>
    <w:p w14:paraId="798F8595">
      <w:pPr>
        <w:spacing w:line="480" w:lineRule="exact"/>
        <w:ind w:firstLine="420"/>
        <w:rPr>
          <w:rFonts w:hint="eastAsia" w:ascii="宋体" w:hAnsi="宋体" w:eastAsia="宋体" w:cs="宋体"/>
          <w:color w:val="000000" w:themeColor="text1"/>
          <w:sz w:val="22"/>
          <w:szCs w:val="22"/>
          <w:highlight w:val="none"/>
          <w14:textFill>
            <w14:solidFill>
              <w14:schemeClr w14:val="tx1"/>
            </w14:solidFill>
          </w14:textFill>
        </w:rPr>
      </w:pPr>
    </w:p>
    <w:p w14:paraId="494B04BF">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发包人(公章)：</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承包人(公章)：</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p>
    <w:p w14:paraId="6617A49A">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64584D89">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法定代表人(签字)：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法定代表人(签字)：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5812E434">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委托代理人(签字)：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委托代理人(签字)：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30C6A3EA">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18F4326B">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70FDF5CF">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1851307F">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0C9DB651">
      <w:pPr>
        <w:snapToGrid w:val="0"/>
        <w:spacing w:line="500" w:lineRule="exact"/>
        <w:rPr>
          <w:rFonts w:hint="eastAsia" w:ascii="宋体" w:hAnsi="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25E29273">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22FE9AD2">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217EBF16">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753FE0D3">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5CD9A3C8">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537B37F4">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宋体" w:hAnsi="宋体"/>
          <w:b/>
          <w:color w:val="000000" w:themeColor="text1"/>
          <w:sz w:val="32"/>
          <w:szCs w:val="32"/>
          <w:highlight w:val="none"/>
          <w14:textFill>
            <w14:solidFill>
              <w14:schemeClr w14:val="tx1"/>
            </w14:solidFill>
          </w14:textFill>
        </w:rPr>
      </w:pPr>
      <w:bookmarkStart w:id="555" w:name="_Toc5616"/>
    </w:p>
    <w:p w14:paraId="265FF09F">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宋体" w:hAnsi="宋体"/>
          <w:b/>
          <w:color w:val="000000" w:themeColor="text1"/>
          <w:sz w:val="32"/>
          <w:szCs w:val="32"/>
          <w:highlight w:val="none"/>
          <w14:textFill>
            <w14:solidFill>
              <w14:schemeClr w14:val="tx1"/>
            </w14:solidFill>
          </w14:textFill>
        </w:rPr>
      </w:pPr>
    </w:p>
    <w:p w14:paraId="52B0051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第五章  工程量清单</w:t>
      </w:r>
      <w:bookmarkEnd w:id="555"/>
    </w:p>
    <w:p w14:paraId="264401A8">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本工程量清单是依据中华人民共和国国家标准《建设工程工程量清单计价规范》(以下简称“计价规范”)以及招标文件中包括的说明等编制。</w:t>
      </w:r>
    </w:p>
    <w:p w14:paraId="2EA8F7DD">
      <w:pPr>
        <w:ind w:firstLine="411" w:firstLineChars="196"/>
        <w:rPr>
          <w:rFonts w:ascii="宋体" w:hAnsi="宋体"/>
          <w:color w:val="000000" w:themeColor="text1"/>
          <w:szCs w:val="21"/>
          <w:highlight w:val="none"/>
          <w14:textFill>
            <w14:solidFill>
              <w14:schemeClr w14:val="tx1"/>
            </w14:solidFill>
          </w14:textFill>
        </w:rPr>
      </w:pPr>
    </w:p>
    <w:p w14:paraId="5C4769E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如下</w:t>
      </w:r>
    </w:p>
    <w:p w14:paraId="15F32FD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7ED4CA5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0733011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5CCD088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7EFEFB1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2EA1CE8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2B8DCE0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2D98264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6A89764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47D71C7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4790E87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110E72A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42C9A9C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0533053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7116B46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1BC2E71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692E761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360B8255">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0021D3F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4C69A33E">
      <w:pPr>
        <w:rPr>
          <w:rFonts w:ascii="Arial"/>
          <w:sz w:val="21"/>
        </w:rPr>
      </w:pPr>
    </w:p>
    <w:p w14:paraId="3756A730">
      <w:pPr>
        <w:rPr>
          <w:rFonts w:ascii="Arial"/>
          <w:sz w:val="21"/>
        </w:rPr>
      </w:pPr>
    </w:p>
    <w:p w14:paraId="6121A1B5">
      <w:pPr>
        <w:pStyle w:val="8"/>
        <w:tabs>
          <w:tab w:val="left" w:pos="1855"/>
        </w:tabs>
        <w:spacing w:before="100" w:line="225" w:lineRule="auto"/>
        <w:ind w:left="1281"/>
        <w:rPr>
          <w:sz w:val="31"/>
          <w:szCs w:val="31"/>
        </w:rPr>
      </w:pPr>
      <w:r>
        <w:rPr>
          <w:sz w:val="31"/>
          <w:szCs w:val="31"/>
          <w:u w:val="single" w:color="auto"/>
        </w:rPr>
        <w:tab/>
      </w:r>
      <w:r>
        <w:rPr>
          <w:spacing w:val="8"/>
          <w:sz w:val="31"/>
          <w:szCs w:val="31"/>
          <w:u w:val="single" w:color="auto"/>
        </w:rPr>
        <w:t xml:space="preserve">响水县开发区东风社区道路维修工程   </w:t>
      </w:r>
      <w:r>
        <w:rPr>
          <w:spacing w:val="-89"/>
          <w:sz w:val="31"/>
          <w:szCs w:val="31"/>
        </w:rPr>
        <w:t xml:space="preserve"> </w:t>
      </w:r>
      <w:r>
        <w:rPr>
          <w:b/>
          <w:bCs/>
          <w:spacing w:val="8"/>
          <w:sz w:val="31"/>
          <w:szCs w:val="31"/>
        </w:rPr>
        <w:t>工程</w:t>
      </w:r>
    </w:p>
    <w:p w14:paraId="7FC08BE6">
      <w:pPr>
        <w:spacing w:line="297" w:lineRule="auto"/>
        <w:rPr>
          <w:rFonts w:ascii="Arial"/>
          <w:sz w:val="21"/>
        </w:rPr>
      </w:pPr>
    </w:p>
    <w:p w14:paraId="4520C665">
      <w:pPr>
        <w:spacing w:line="298" w:lineRule="auto"/>
        <w:rPr>
          <w:rFonts w:ascii="Arial"/>
          <w:sz w:val="21"/>
        </w:rPr>
      </w:pPr>
    </w:p>
    <w:p w14:paraId="5C765964">
      <w:pPr>
        <w:pStyle w:val="8"/>
        <w:spacing w:before="127" w:line="225" w:lineRule="auto"/>
        <w:ind w:left="3487"/>
        <w:outlineLvl w:val="0"/>
        <w:rPr>
          <w:sz w:val="39"/>
          <w:szCs w:val="39"/>
        </w:rPr>
      </w:pPr>
      <w:r>
        <w:rPr>
          <w:b/>
          <w:bCs/>
          <w:spacing w:val="6"/>
          <w:sz w:val="39"/>
          <w:szCs w:val="39"/>
        </w:rPr>
        <w:t>招标工程量清单</w:t>
      </w:r>
    </w:p>
    <w:p w14:paraId="26753BD2">
      <w:pPr>
        <w:spacing w:before="3"/>
      </w:pPr>
    </w:p>
    <w:p w14:paraId="763DF0B2">
      <w:pPr>
        <w:spacing w:before="3"/>
      </w:pPr>
    </w:p>
    <w:p w14:paraId="06FE5A9C">
      <w:pPr>
        <w:spacing w:before="3"/>
      </w:pPr>
    </w:p>
    <w:p w14:paraId="7497463A">
      <w:pPr>
        <w:spacing w:before="2"/>
      </w:pPr>
    </w:p>
    <w:p w14:paraId="16A7B957">
      <w:pPr>
        <w:spacing w:before="2"/>
      </w:pPr>
    </w:p>
    <w:p w14:paraId="1F1613DE">
      <w:pPr>
        <w:spacing w:before="2"/>
      </w:pPr>
    </w:p>
    <w:tbl>
      <w:tblPr>
        <w:tblStyle w:val="26"/>
        <w:tblW w:w="9696"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630"/>
        <w:gridCol w:w="3031"/>
        <w:gridCol w:w="1874"/>
        <w:gridCol w:w="3161"/>
      </w:tblGrid>
      <w:tr w14:paraId="7318F23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61" w:hRule="atLeast"/>
        </w:trPr>
        <w:tc>
          <w:tcPr>
            <w:tcW w:w="1630" w:type="dxa"/>
            <w:vAlign w:val="top"/>
          </w:tcPr>
          <w:p w14:paraId="1532046E">
            <w:pPr>
              <w:spacing w:before="1" w:line="182" w:lineRule="auto"/>
              <w:rPr>
                <w:rFonts w:ascii="宋体" w:hAnsi="宋体" w:eastAsia="宋体" w:cs="宋体"/>
                <w:spacing w:val="-8"/>
                <w:sz w:val="22"/>
                <w:szCs w:val="22"/>
              </w:rPr>
            </w:pPr>
          </w:p>
          <w:p w14:paraId="652EE518">
            <w:pPr>
              <w:spacing w:before="1" w:line="182" w:lineRule="auto"/>
              <w:rPr>
                <w:rFonts w:ascii="宋体" w:hAnsi="宋体" w:eastAsia="宋体" w:cs="宋体"/>
                <w:sz w:val="22"/>
                <w:szCs w:val="22"/>
              </w:rPr>
            </w:pPr>
            <w:r>
              <w:rPr>
                <w:rFonts w:ascii="宋体" w:hAnsi="宋体" w:eastAsia="宋体" w:cs="宋体"/>
                <w:spacing w:val="-8"/>
                <w:sz w:val="22"/>
                <w:szCs w:val="22"/>
              </w:rPr>
              <w:t>招</w:t>
            </w:r>
            <w:r>
              <w:rPr>
                <w:rFonts w:ascii="宋体" w:hAnsi="宋体" w:eastAsia="宋体" w:cs="宋体"/>
                <w:spacing w:val="5"/>
                <w:sz w:val="22"/>
                <w:szCs w:val="22"/>
              </w:rPr>
              <w:t xml:space="preserve">  </w:t>
            </w:r>
            <w:r>
              <w:rPr>
                <w:rFonts w:ascii="宋体" w:hAnsi="宋体" w:eastAsia="宋体" w:cs="宋体"/>
                <w:spacing w:val="-8"/>
                <w:sz w:val="22"/>
                <w:szCs w:val="22"/>
              </w:rPr>
              <w:t>标</w:t>
            </w:r>
            <w:r>
              <w:rPr>
                <w:rFonts w:ascii="宋体" w:hAnsi="宋体" w:eastAsia="宋体" w:cs="宋体"/>
                <w:spacing w:val="6"/>
                <w:sz w:val="22"/>
                <w:szCs w:val="22"/>
              </w:rPr>
              <w:t xml:space="preserve">  </w:t>
            </w:r>
            <w:r>
              <w:rPr>
                <w:rFonts w:ascii="宋体" w:hAnsi="宋体" w:eastAsia="宋体" w:cs="宋体"/>
                <w:spacing w:val="-8"/>
                <w:sz w:val="22"/>
                <w:szCs w:val="22"/>
              </w:rPr>
              <w:t>人：</w:t>
            </w:r>
          </w:p>
        </w:tc>
        <w:tc>
          <w:tcPr>
            <w:tcW w:w="3031" w:type="dxa"/>
            <w:tcBorders>
              <w:bottom w:val="single" w:color="000000" w:sz="6" w:space="0"/>
            </w:tcBorders>
            <w:vAlign w:val="top"/>
          </w:tcPr>
          <w:p w14:paraId="0DA4D102">
            <w:pPr>
              <w:pStyle w:val="27"/>
              <w:spacing w:line="218" w:lineRule="exact"/>
              <w:rPr>
                <w:sz w:val="18"/>
              </w:rPr>
            </w:pPr>
          </w:p>
        </w:tc>
        <w:tc>
          <w:tcPr>
            <w:tcW w:w="1874" w:type="dxa"/>
            <w:vAlign w:val="top"/>
          </w:tcPr>
          <w:p w14:paraId="5A66B232">
            <w:pPr>
              <w:spacing w:before="1" w:line="182" w:lineRule="auto"/>
              <w:ind w:left="257"/>
              <w:rPr>
                <w:rFonts w:ascii="宋体" w:hAnsi="宋体" w:eastAsia="宋体" w:cs="宋体"/>
                <w:spacing w:val="-2"/>
                <w:sz w:val="22"/>
                <w:szCs w:val="22"/>
              </w:rPr>
            </w:pPr>
          </w:p>
          <w:p w14:paraId="08963B6E">
            <w:pPr>
              <w:spacing w:before="1" w:line="182" w:lineRule="auto"/>
              <w:ind w:left="257"/>
              <w:rPr>
                <w:rFonts w:ascii="宋体" w:hAnsi="宋体" w:eastAsia="宋体" w:cs="宋体"/>
                <w:sz w:val="22"/>
                <w:szCs w:val="22"/>
              </w:rPr>
            </w:pPr>
            <w:r>
              <w:rPr>
                <w:rFonts w:ascii="宋体" w:hAnsi="宋体" w:eastAsia="宋体" w:cs="宋体"/>
                <w:spacing w:val="-2"/>
                <w:sz w:val="22"/>
                <w:szCs w:val="22"/>
              </w:rPr>
              <w:t>造价咨询人：</w:t>
            </w:r>
          </w:p>
        </w:tc>
        <w:tc>
          <w:tcPr>
            <w:tcW w:w="3161" w:type="dxa"/>
            <w:tcBorders>
              <w:bottom w:val="single" w:color="000000" w:sz="6" w:space="0"/>
            </w:tcBorders>
            <w:vAlign w:val="top"/>
          </w:tcPr>
          <w:p w14:paraId="6ED05432">
            <w:pPr>
              <w:pStyle w:val="27"/>
              <w:spacing w:line="218" w:lineRule="exact"/>
              <w:rPr>
                <w:sz w:val="18"/>
              </w:rPr>
            </w:pPr>
          </w:p>
        </w:tc>
      </w:tr>
      <w:tr w14:paraId="661F6BA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86" w:hRule="atLeast"/>
        </w:trPr>
        <w:tc>
          <w:tcPr>
            <w:tcW w:w="1630" w:type="dxa"/>
            <w:vAlign w:val="top"/>
          </w:tcPr>
          <w:p w14:paraId="5848600C">
            <w:pPr>
              <w:pStyle w:val="27"/>
            </w:pPr>
          </w:p>
        </w:tc>
        <w:tc>
          <w:tcPr>
            <w:tcW w:w="3031" w:type="dxa"/>
            <w:tcBorders>
              <w:top w:val="single" w:color="000000" w:sz="6" w:space="0"/>
            </w:tcBorders>
            <w:vAlign w:val="top"/>
          </w:tcPr>
          <w:p w14:paraId="2A3D5C6F">
            <w:pPr>
              <w:spacing w:before="133" w:line="219" w:lineRule="auto"/>
              <w:ind w:left="1003"/>
              <w:rPr>
                <w:rFonts w:ascii="宋体" w:hAnsi="宋体" w:eastAsia="宋体" w:cs="宋体"/>
                <w:sz w:val="18"/>
                <w:szCs w:val="18"/>
              </w:rPr>
            </w:pPr>
            <w:r>
              <w:rPr>
                <w:rFonts w:ascii="宋体" w:hAnsi="宋体" w:eastAsia="宋体" w:cs="宋体"/>
                <w:spacing w:val="-3"/>
                <w:sz w:val="18"/>
                <w:szCs w:val="18"/>
              </w:rPr>
              <w:t>（单位盖章）</w:t>
            </w:r>
          </w:p>
        </w:tc>
        <w:tc>
          <w:tcPr>
            <w:tcW w:w="1874" w:type="dxa"/>
            <w:vAlign w:val="top"/>
          </w:tcPr>
          <w:p w14:paraId="1BDF8147">
            <w:pPr>
              <w:pStyle w:val="27"/>
            </w:pPr>
          </w:p>
        </w:tc>
        <w:tc>
          <w:tcPr>
            <w:tcW w:w="3161" w:type="dxa"/>
            <w:tcBorders>
              <w:top w:val="single" w:color="000000" w:sz="6" w:space="0"/>
            </w:tcBorders>
            <w:vAlign w:val="top"/>
          </w:tcPr>
          <w:p w14:paraId="1F235624">
            <w:pPr>
              <w:spacing w:before="133" w:line="219" w:lineRule="auto"/>
              <w:ind w:left="797"/>
              <w:rPr>
                <w:rFonts w:ascii="宋体" w:hAnsi="宋体" w:eastAsia="宋体" w:cs="宋体"/>
                <w:sz w:val="18"/>
                <w:szCs w:val="18"/>
              </w:rPr>
            </w:pPr>
            <w:r>
              <w:rPr>
                <w:rFonts w:ascii="宋体" w:hAnsi="宋体" w:eastAsia="宋体" w:cs="宋体"/>
                <w:spacing w:val="-2"/>
                <w:sz w:val="18"/>
                <w:szCs w:val="18"/>
              </w:rPr>
              <w:t>（单位资质专用章）</w:t>
            </w:r>
          </w:p>
        </w:tc>
      </w:tr>
      <w:tr w14:paraId="33FF04C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18" w:hRule="atLeast"/>
        </w:trPr>
        <w:tc>
          <w:tcPr>
            <w:tcW w:w="1630" w:type="dxa"/>
            <w:vAlign w:val="top"/>
          </w:tcPr>
          <w:p w14:paraId="0B307265">
            <w:pPr>
              <w:pStyle w:val="27"/>
              <w:spacing w:line="266" w:lineRule="auto"/>
            </w:pPr>
          </w:p>
          <w:p w14:paraId="6301BF9A">
            <w:pPr>
              <w:pStyle w:val="27"/>
              <w:spacing w:line="266" w:lineRule="auto"/>
            </w:pPr>
          </w:p>
          <w:p w14:paraId="278E992D">
            <w:pPr>
              <w:pStyle w:val="27"/>
              <w:spacing w:line="266" w:lineRule="auto"/>
            </w:pPr>
          </w:p>
          <w:p w14:paraId="63EA1D4B">
            <w:pPr>
              <w:spacing w:before="71" w:line="196" w:lineRule="auto"/>
              <w:rPr>
                <w:rFonts w:ascii="宋体" w:hAnsi="宋体" w:eastAsia="宋体" w:cs="宋体"/>
                <w:sz w:val="22"/>
                <w:szCs w:val="22"/>
              </w:rPr>
            </w:pPr>
            <w:r>
              <w:rPr>
                <w:rFonts w:ascii="宋体" w:hAnsi="宋体" w:eastAsia="宋体" w:cs="宋体"/>
                <w:spacing w:val="-2"/>
                <w:sz w:val="22"/>
                <w:szCs w:val="22"/>
              </w:rPr>
              <w:t>法定代表人</w:t>
            </w:r>
          </w:p>
        </w:tc>
        <w:tc>
          <w:tcPr>
            <w:tcW w:w="3031" w:type="dxa"/>
            <w:vAlign w:val="top"/>
          </w:tcPr>
          <w:p w14:paraId="4CCEE466">
            <w:pPr>
              <w:pStyle w:val="27"/>
            </w:pPr>
          </w:p>
        </w:tc>
        <w:tc>
          <w:tcPr>
            <w:tcW w:w="1874" w:type="dxa"/>
            <w:vAlign w:val="top"/>
          </w:tcPr>
          <w:p w14:paraId="7B754B19">
            <w:pPr>
              <w:pStyle w:val="27"/>
              <w:spacing w:line="266" w:lineRule="auto"/>
            </w:pPr>
          </w:p>
          <w:p w14:paraId="25258606">
            <w:pPr>
              <w:pStyle w:val="27"/>
              <w:spacing w:line="266" w:lineRule="auto"/>
            </w:pPr>
          </w:p>
          <w:p w14:paraId="3F95CEDE">
            <w:pPr>
              <w:pStyle w:val="27"/>
              <w:spacing w:line="266" w:lineRule="auto"/>
            </w:pPr>
          </w:p>
          <w:p w14:paraId="6AB9B28E">
            <w:pPr>
              <w:spacing w:before="71" w:line="196" w:lineRule="auto"/>
              <w:ind w:left="258"/>
              <w:rPr>
                <w:rFonts w:ascii="宋体" w:hAnsi="宋体" w:eastAsia="宋体" w:cs="宋体"/>
                <w:sz w:val="22"/>
                <w:szCs w:val="22"/>
              </w:rPr>
            </w:pPr>
            <w:r>
              <w:rPr>
                <w:rFonts w:ascii="宋体" w:hAnsi="宋体" w:eastAsia="宋体" w:cs="宋体"/>
                <w:spacing w:val="-2"/>
                <w:sz w:val="22"/>
                <w:szCs w:val="22"/>
              </w:rPr>
              <w:t>法定代表人</w:t>
            </w:r>
          </w:p>
        </w:tc>
        <w:tc>
          <w:tcPr>
            <w:tcW w:w="3161" w:type="dxa"/>
            <w:vAlign w:val="top"/>
          </w:tcPr>
          <w:p w14:paraId="485E96F4">
            <w:pPr>
              <w:pStyle w:val="27"/>
            </w:pPr>
          </w:p>
        </w:tc>
      </w:tr>
      <w:tr w14:paraId="4B27BB3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56" w:hRule="atLeast"/>
        </w:trPr>
        <w:tc>
          <w:tcPr>
            <w:tcW w:w="1630" w:type="dxa"/>
            <w:vAlign w:val="top"/>
          </w:tcPr>
          <w:p w14:paraId="14BC6279">
            <w:pPr>
              <w:spacing w:before="27" w:line="183" w:lineRule="auto"/>
              <w:ind w:left="1"/>
              <w:rPr>
                <w:rFonts w:ascii="宋体" w:hAnsi="宋体" w:eastAsia="宋体" w:cs="宋体"/>
                <w:sz w:val="22"/>
                <w:szCs w:val="22"/>
              </w:rPr>
            </w:pPr>
            <w:r>
              <w:rPr>
                <w:rFonts w:ascii="宋体" w:hAnsi="宋体" w:eastAsia="宋体" w:cs="宋体"/>
                <w:spacing w:val="-2"/>
                <w:sz w:val="22"/>
                <w:szCs w:val="22"/>
              </w:rPr>
              <w:t>或其授权人：</w:t>
            </w:r>
          </w:p>
        </w:tc>
        <w:tc>
          <w:tcPr>
            <w:tcW w:w="3031" w:type="dxa"/>
            <w:tcBorders>
              <w:bottom w:val="single" w:color="000000" w:sz="6" w:space="0"/>
            </w:tcBorders>
            <w:vAlign w:val="top"/>
          </w:tcPr>
          <w:p w14:paraId="78D1255F">
            <w:pPr>
              <w:pStyle w:val="27"/>
            </w:pPr>
          </w:p>
        </w:tc>
        <w:tc>
          <w:tcPr>
            <w:tcW w:w="1874" w:type="dxa"/>
            <w:vAlign w:val="top"/>
          </w:tcPr>
          <w:p w14:paraId="40B62B40">
            <w:pPr>
              <w:spacing w:before="27" w:line="183" w:lineRule="auto"/>
              <w:ind w:left="260"/>
              <w:rPr>
                <w:rFonts w:ascii="宋体" w:hAnsi="宋体" w:eastAsia="宋体" w:cs="宋体"/>
                <w:sz w:val="22"/>
                <w:szCs w:val="22"/>
              </w:rPr>
            </w:pPr>
            <w:r>
              <w:rPr>
                <w:rFonts w:ascii="宋体" w:hAnsi="宋体" w:eastAsia="宋体" w:cs="宋体"/>
                <w:spacing w:val="-2"/>
                <w:sz w:val="22"/>
                <w:szCs w:val="22"/>
              </w:rPr>
              <w:t>或其授权人：</w:t>
            </w:r>
          </w:p>
        </w:tc>
        <w:tc>
          <w:tcPr>
            <w:tcW w:w="3161" w:type="dxa"/>
            <w:tcBorders>
              <w:bottom w:val="single" w:color="000000" w:sz="6" w:space="0"/>
            </w:tcBorders>
            <w:vAlign w:val="top"/>
          </w:tcPr>
          <w:p w14:paraId="5A6F132A">
            <w:pPr>
              <w:pStyle w:val="27"/>
            </w:pPr>
          </w:p>
        </w:tc>
      </w:tr>
      <w:tr w14:paraId="18A069E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575" w:hRule="atLeast"/>
        </w:trPr>
        <w:tc>
          <w:tcPr>
            <w:tcW w:w="1630" w:type="dxa"/>
            <w:vAlign w:val="top"/>
          </w:tcPr>
          <w:p w14:paraId="62A04A52">
            <w:pPr>
              <w:pStyle w:val="27"/>
              <w:spacing w:line="251" w:lineRule="auto"/>
            </w:pPr>
          </w:p>
          <w:p w14:paraId="30A41DFF">
            <w:pPr>
              <w:pStyle w:val="27"/>
              <w:spacing w:line="251" w:lineRule="auto"/>
            </w:pPr>
          </w:p>
          <w:p w14:paraId="66DEC739">
            <w:pPr>
              <w:pStyle w:val="27"/>
              <w:spacing w:line="251" w:lineRule="auto"/>
            </w:pPr>
          </w:p>
          <w:p w14:paraId="126B8762">
            <w:pPr>
              <w:pStyle w:val="27"/>
              <w:spacing w:line="251" w:lineRule="auto"/>
            </w:pPr>
          </w:p>
          <w:p w14:paraId="3D292016">
            <w:pPr>
              <w:pStyle w:val="27"/>
              <w:spacing w:line="251" w:lineRule="auto"/>
            </w:pPr>
          </w:p>
          <w:p w14:paraId="3AAFE0EF">
            <w:pPr>
              <w:pStyle w:val="27"/>
              <w:spacing w:line="251" w:lineRule="auto"/>
            </w:pPr>
          </w:p>
          <w:p w14:paraId="2F91E418">
            <w:pPr>
              <w:pStyle w:val="27"/>
              <w:spacing w:line="251" w:lineRule="auto"/>
            </w:pPr>
          </w:p>
          <w:p w14:paraId="62BFF10B">
            <w:pPr>
              <w:pStyle w:val="27"/>
              <w:spacing w:line="251" w:lineRule="auto"/>
            </w:pPr>
          </w:p>
          <w:p w14:paraId="4A4476E1">
            <w:pPr>
              <w:pStyle w:val="27"/>
              <w:spacing w:line="252" w:lineRule="auto"/>
            </w:pPr>
          </w:p>
          <w:p w14:paraId="4C11F559">
            <w:pPr>
              <w:spacing w:before="71" w:line="184" w:lineRule="auto"/>
              <w:rPr>
                <w:rFonts w:ascii="宋体" w:hAnsi="宋体" w:eastAsia="宋体" w:cs="宋体"/>
                <w:sz w:val="22"/>
                <w:szCs w:val="22"/>
              </w:rPr>
            </w:pPr>
            <w:r>
              <w:rPr>
                <w:rFonts w:ascii="宋体" w:hAnsi="宋体" w:eastAsia="宋体" w:cs="宋体"/>
                <w:spacing w:val="-8"/>
                <w:sz w:val="22"/>
                <w:szCs w:val="22"/>
              </w:rPr>
              <w:t>编</w:t>
            </w:r>
            <w:r>
              <w:rPr>
                <w:rFonts w:ascii="宋体" w:hAnsi="宋体" w:eastAsia="宋体" w:cs="宋体"/>
                <w:spacing w:val="4"/>
                <w:sz w:val="22"/>
                <w:szCs w:val="22"/>
              </w:rPr>
              <w:t xml:space="preserve">  </w:t>
            </w:r>
            <w:r>
              <w:rPr>
                <w:rFonts w:ascii="宋体" w:hAnsi="宋体" w:eastAsia="宋体" w:cs="宋体"/>
                <w:spacing w:val="-8"/>
                <w:sz w:val="22"/>
                <w:szCs w:val="22"/>
              </w:rPr>
              <w:t>制</w:t>
            </w:r>
            <w:r>
              <w:rPr>
                <w:rFonts w:ascii="宋体" w:hAnsi="宋体" w:eastAsia="宋体" w:cs="宋体"/>
                <w:spacing w:val="6"/>
                <w:sz w:val="22"/>
                <w:szCs w:val="22"/>
              </w:rPr>
              <w:t xml:space="preserve">  </w:t>
            </w:r>
            <w:r>
              <w:rPr>
                <w:rFonts w:ascii="宋体" w:hAnsi="宋体" w:eastAsia="宋体" w:cs="宋体"/>
                <w:spacing w:val="-8"/>
                <w:sz w:val="22"/>
                <w:szCs w:val="22"/>
              </w:rPr>
              <w:t>人：</w:t>
            </w:r>
          </w:p>
        </w:tc>
        <w:tc>
          <w:tcPr>
            <w:tcW w:w="3031" w:type="dxa"/>
            <w:tcBorders>
              <w:top w:val="single" w:color="000000" w:sz="6" w:space="0"/>
              <w:bottom w:val="single" w:color="000000" w:sz="6" w:space="0"/>
            </w:tcBorders>
            <w:vAlign w:val="top"/>
          </w:tcPr>
          <w:p w14:paraId="4BE8E94A">
            <w:pPr>
              <w:spacing w:before="133" w:line="219" w:lineRule="auto"/>
              <w:ind w:left="912"/>
              <w:rPr>
                <w:rFonts w:ascii="宋体" w:hAnsi="宋体" w:eastAsia="宋体" w:cs="宋体"/>
                <w:sz w:val="18"/>
                <w:szCs w:val="18"/>
              </w:rPr>
            </w:pPr>
            <w:r>
              <w:rPr>
                <w:rFonts w:ascii="宋体" w:hAnsi="宋体" w:eastAsia="宋体" w:cs="宋体"/>
                <w:spacing w:val="-3"/>
                <w:sz w:val="18"/>
                <w:szCs w:val="18"/>
              </w:rPr>
              <w:t>（签字或盖章）</w:t>
            </w:r>
          </w:p>
        </w:tc>
        <w:tc>
          <w:tcPr>
            <w:tcW w:w="1874" w:type="dxa"/>
            <w:vAlign w:val="top"/>
          </w:tcPr>
          <w:p w14:paraId="25168BC0">
            <w:pPr>
              <w:pStyle w:val="27"/>
              <w:spacing w:line="251" w:lineRule="auto"/>
            </w:pPr>
          </w:p>
          <w:p w14:paraId="57129FF6">
            <w:pPr>
              <w:pStyle w:val="27"/>
              <w:spacing w:line="251" w:lineRule="auto"/>
            </w:pPr>
          </w:p>
          <w:p w14:paraId="62E2407F">
            <w:pPr>
              <w:pStyle w:val="27"/>
              <w:spacing w:line="251" w:lineRule="auto"/>
            </w:pPr>
          </w:p>
          <w:p w14:paraId="511DC974">
            <w:pPr>
              <w:pStyle w:val="27"/>
              <w:spacing w:line="251" w:lineRule="auto"/>
            </w:pPr>
          </w:p>
          <w:p w14:paraId="0E5E2CFC">
            <w:pPr>
              <w:pStyle w:val="27"/>
              <w:spacing w:line="251" w:lineRule="auto"/>
            </w:pPr>
          </w:p>
          <w:p w14:paraId="25AACFF2">
            <w:pPr>
              <w:pStyle w:val="27"/>
              <w:spacing w:line="251" w:lineRule="auto"/>
            </w:pPr>
          </w:p>
          <w:p w14:paraId="3DE3EC10">
            <w:pPr>
              <w:pStyle w:val="27"/>
              <w:spacing w:line="251" w:lineRule="auto"/>
            </w:pPr>
          </w:p>
          <w:p w14:paraId="6A92F918">
            <w:pPr>
              <w:pStyle w:val="27"/>
              <w:spacing w:line="251" w:lineRule="auto"/>
            </w:pPr>
          </w:p>
          <w:p w14:paraId="4AFF84A1">
            <w:pPr>
              <w:pStyle w:val="27"/>
              <w:spacing w:line="252" w:lineRule="auto"/>
            </w:pPr>
          </w:p>
          <w:p w14:paraId="1DA92B18">
            <w:pPr>
              <w:spacing w:before="71" w:line="184" w:lineRule="auto"/>
              <w:ind w:left="264"/>
              <w:rPr>
                <w:rFonts w:ascii="宋体" w:hAnsi="宋体" w:eastAsia="宋体" w:cs="宋体"/>
                <w:sz w:val="22"/>
                <w:szCs w:val="22"/>
              </w:rPr>
            </w:pPr>
            <w:r>
              <w:rPr>
                <w:rFonts w:ascii="宋体" w:hAnsi="宋体" w:eastAsia="宋体" w:cs="宋体"/>
                <w:spacing w:val="-10"/>
                <w:sz w:val="22"/>
                <w:szCs w:val="22"/>
              </w:rPr>
              <w:t>复</w:t>
            </w:r>
            <w:r>
              <w:rPr>
                <w:rFonts w:ascii="宋体" w:hAnsi="宋体" w:eastAsia="宋体" w:cs="宋体"/>
                <w:spacing w:val="8"/>
                <w:sz w:val="22"/>
                <w:szCs w:val="22"/>
              </w:rPr>
              <w:t xml:space="preserve">  </w:t>
            </w:r>
            <w:r>
              <w:rPr>
                <w:rFonts w:ascii="宋体" w:hAnsi="宋体" w:eastAsia="宋体" w:cs="宋体"/>
                <w:spacing w:val="-10"/>
                <w:sz w:val="22"/>
                <w:szCs w:val="22"/>
              </w:rPr>
              <w:t>核</w:t>
            </w:r>
            <w:r>
              <w:rPr>
                <w:rFonts w:ascii="宋体" w:hAnsi="宋体" w:eastAsia="宋体" w:cs="宋体"/>
                <w:spacing w:val="5"/>
                <w:sz w:val="22"/>
                <w:szCs w:val="22"/>
              </w:rPr>
              <w:t xml:space="preserve">  </w:t>
            </w:r>
            <w:r>
              <w:rPr>
                <w:rFonts w:ascii="宋体" w:hAnsi="宋体" w:eastAsia="宋体" w:cs="宋体"/>
                <w:spacing w:val="-10"/>
                <w:sz w:val="22"/>
                <w:szCs w:val="22"/>
              </w:rPr>
              <w:t>人：</w:t>
            </w:r>
          </w:p>
        </w:tc>
        <w:tc>
          <w:tcPr>
            <w:tcW w:w="3161" w:type="dxa"/>
            <w:tcBorders>
              <w:top w:val="single" w:color="000000" w:sz="6" w:space="0"/>
              <w:bottom w:val="single" w:color="000000" w:sz="6" w:space="0"/>
            </w:tcBorders>
            <w:vAlign w:val="top"/>
          </w:tcPr>
          <w:p w14:paraId="759CA062">
            <w:pPr>
              <w:spacing w:before="133" w:line="219" w:lineRule="auto"/>
              <w:ind w:left="977"/>
              <w:rPr>
                <w:rFonts w:ascii="宋体" w:hAnsi="宋体" w:eastAsia="宋体" w:cs="宋体"/>
                <w:sz w:val="18"/>
                <w:szCs w:val="18"/>
              </w:rPr>
            </w:pPr>
            <w:r>
              <w:rPr>
                <w:rFonts w:ascii="宋体" w:hAnsi="宋体" w:eastAsia="宋体" w:cs="宋体"/>
                <w:spacing w:val="-3"/>
                <w:sz w:val="18"/>
                <w:szCs w:val="18"/>
              </w:rPr>
              <w:t>（签字或盖章）</w:t>
            </w:r>
          </w:p>
        </w:tc>
      </w:tr>
      <w:tr w14:paraId="56029F5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06" w:hRule="atLeast"/>
        </w:trPr>
        <w:tc>
          <w:tcPr>
            <w:tcW w:w="1630" w:type="dxa"/>
            <w:vAlign w:val="top"/>
          </w:tcPr>
          <w:p w14:paraId="58B1B295">
            <w:pPr>
              <w:pStyle w:val="27"/>
            </w:pPr>
          </w:p>
        </w:tc>
        <w:tc>
          <w:tcPr>
            <w:tcW w:w="3031" w:type="dxa"/>
            <w:tcBorders>
              <w:top w:val="single" w:color="000000" w:sz="6" w:space="0"/>
            </w:tcBorders>
            <w:vAlign w:val="top"/>
          </w:tcPr>
          <w:p w14:paraId="307C8CB3">
            <w:pPr>
              <w:spacing w:before="126" w:line="174" w:lineRule="auto"/>
              <w:ind w:left="463"/>
              <w:rPr>
                <w:rFonts w:ascii="宋体" w:hAnsi="宋体" w:eastAsia="宋体" w:cs="宋体"/>
                <w:sz w:val="18"/>
                <w:szCs w:val="18"/>
              </w:rPr>
            </w:pPr>
            <w:r>
              <w:rPr>
                <w:rFonts w:ascii="宋体" w:hAnsi="宋体" w:eastAsia="宋体" w:cs="宋体"/>
                <w:spacing w:val="-2"/>
                <w:sz w:val="18"/>
                <w:szCs w:val="18"/>
              </w:rPr>
              <w:t>（造价人员签字盖专用章）</w:t>
            </w:r>
          </w:p>
        </w:tc>
        <w:tc>
          <w:tcPr>
            <w:tcW w:w="1874" w:type="dxa"/>
            <w:vAlign w:val="top"/>
          </w:tcPr>
          <w:p w14:paraId="2A32BA51">
            <w:pPr>
              <w:pStyle w:val="27"/>
            </w:pPr>
          </w:p>
        </w:tc>
        <w:tc>
          <w:tcPr>
            <w:tcW w:w="3161" w:type="dxa"/>
            <w:tcBorders>
              <w:top w:val="single" w:color="000000" w:sz="6" w:space="0"/>
            </w:tcBorders>
            <w:vAlign w:val="top"/>
          </w:tcPr>
          <w:p w14:paraId="1C8D6E1E">
            <w:pPr>
              <w:spacing w:before="126" w:line="174" w:lineRule="auto"/>
              <w:ind w:left="437"/>
              <w:rPr>
                <w:rFonts w:ascii="宋体" w:hAnsi="宋体" w:eastAsia="宋体" w:cs="宋体"/>
                <w:sz w:val="18"/>
                <w:szCs w:val="18"/>
              </w:rPr>
            </w:pPr>
            <w:r>
              <w:rPr>
                <w:rFonts w:ascii="宋体" w:hAnsi="宋体" w:eastAsia="宋体" w:cs="宋体"/>
                <w:spacing w:val="-2"/>
                <w:sz w:val="18"/>
                <w:szCs w:val="18"/>
              </w:rPr>
              <w:t>（造价工程师签字盖专用章）</w:t>
            </w:r>
          </w:p>
        </w:tc>
      </w:tr>
    </w:tbl>
    <w:p w14:paraId="43B8F517">
      <w:pPr>
        <w:spacing w:line="243" w:lineRule="auto"/>
        <w:rPr>
          <w:rFonts w:ascii="Arial"/>
          <w:sz w:val="21"/>
        </w:rPr>
      </w:pPr>
    </w:p>
    <w:p w14:paraId="373D2994">
      <w:pPr>
        <w:spacing w:line="243" w:lineRule="auto"/>
        <w:rPr>
          <w:rFonts w:ascii="Arial"/>
          <w:sz w:val="21"/>
        </w:rPr>
      </w:pPr>
    </w:p>
    <w:p w14:paraId="1C3BB24E">
      <w:pPr>
        <w:spacing w:line="243" w:lineRule="auto"/>
        <w:rPr>
          <w:rFonts w:ascii="Arial"/>
          <w:sz w:val="21"/>
        </w:rPr>
      </w:pPr>
    </w:p>
    <w:p w14:paraId="269333CF">
      <w:pPr>
        <w:spacing w:line="243" w:lineRule="auto"/>
        <w:rPr>
          <w:rFonts w:ascii="Arial"/>
          <w:sz w:val="21"/>
        </w:rPr>
      </w:pPr>
    </w:p>
    <w:p w14:paraId="264B4810">
      <w:pPr>
        <w:spacing w:line="243" w:lineRule="auto"/>
        <w:rPr>
          <w:rFonts w:ascii="Arial"/>
          <w:sz w:val="21"/>
        </w:rPr>
      </w:pPr>
    </w:p>
    <w:p w14:paraId="509B26B5">
      <w:pPr>
        <w:spacing w:line="243" w:lineRule="auto"/>
        <w:rPr>
          <w:rFonts w:ascii="Arial"/>
          <w:sz w:val="21"/>
        </w:rPr>
      </w:pPr>
    </w:p>
    <w:p w14:paraId="584B446B">
      <w:pPr>
        <w:spacing w:line="243" w:lineRule="auto"/>
        <w:rPr>
          <w:rFonts w:ascii="Arial"/>
          <w:sz w:val="21"/>
        </w:rPr>
      </w:pPr>
    </w:p>
    <w:p w14:paraId="67C37AE9">
      <w:pPr>
        <w:spacing w:line="243" w:lineRule="auto"/>
        <w:rPr>
          <w:rFonts w:ascii="Arial"/>
          <w:sz w:val="21"/>
        </w:rPr>
      </w:pPr>
    </w:p>
    <w:p w14:paraId="6D45A731">
      <w:pPr>
        <w:pStyle w:val="8"/>
        <w:spacing w:before="72" w:line="219" w:lineRule="auto"/>
      </w:pPr>
      <w:r>
        <w:rPr>
          <w:spacing w:val="-14"/>
        </w:rPr>
        <w:t>编 制</w:t>
      </w:r>
      <w:r>
        <w:rPr>
          <w:spacing w:val="19"/>
        </w:rPr>
        <w:t xml:space="preserve"> </w:t>
      </w:r>
      <w:r>
        <w:rPr>
          <w:spacing w:val="-14"/>
        </w:rPr>
        <w:t>时</w:t>
      </w:r>
      <w:r>
        <w:rPr>
          <w:spacing w:val="26"/>
        </w:rPr>
        <w:t xml:space="preserve"> </w:t>
      </w:r>
      <w:r>
        <w:rPr>
          <w:spacing w:val="-14"/>
        </w:rPr>
        <w:t>间</w:t>
      </w:r>
      <w:r>
        <w:rPr>
          <w:spacing w:val="-81"/>
        </w:rPr>
        <w:t xml:space="preserve"> </w:t>
      </w:r>
      <w:r>
        <w:rPr>
          <w:spacing w:val="-14"/>
        </w:rPr>
        <w:t>：</w:t>
      </w:r>
      <w:r>
        <w:rPr>
          <w:spacing w:val="3"/>
        </w:rPr>
        <w:t xml:space="preserve">                             </w:t>
      </w:r>
      <w:r>
        <w:rPr>
          <w:spacing w:val="2"/>
        </w:rPr>
        <w:t xml:space="preserve">  </w:t>
      </w:r>
      <w:r>
        <w:rPr>
          <w:spacing w:val="-14"/>
        </w:rPr>
        <w:t>复</w:t>
      </w:r>
      <w:r>
        <w:rPr>
          <w:spacing w:val="13"/>
        </w:rPr>
        <w:t xml:space="preserve"> </w:t>
      </w:r>
      <w:r>
        <w:rPr>
          <w:spacing w:val="-14"/>
        </w:rPr>
        <w:t>核</w:t>
      </w:r>
      <w:r>
        <w:rPr>
          <w:spacing w:val="21"/>
        </w:rPr>
        <w:t xml:space="preserve"> </w:t>
      </w:r>
      <w:r>
        <w:rPr>
          <w:spacing w:val="-14"/>
        </w:rPr>
        <w:t>时</w:t>
      </w:r>
      <w:r>
        <w:rPr>
          <w:spacing w:val="27"/>
        </w:rPr>
        <w:t xml:space="preserve"> </w:t>
      </w:r>
      <w:r>
        <w:rPr>
          <w:spacing w:val="-14"/>
        </w:rPr>
        <w:t>间：</w:t>
      </w:r>
    </w:p>
    <w:p w14:paraId="562D1E3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sectPr>
          <w:pgSz w:w="11905" w:h="16837"/>
          <w:pgMar w:top="1431" w:right="1088" w:bottom="706" w:left="1120" w:header="850" w:footer="992" w:gutter="0"/>
          <w:pgNumType w:fmt="decimal"/>
          <w:cols w:space="720" w:num="1"/>
          <w:titlePg/>
        </w:sectPr>
      </w:pPr>
    </w:p>
    <w:p w14:paraId="7A6FA569">
      <w:pPr>
        <w:pStyle w:val="8"/>
        <w:spacing w:before="55" w:line="218" w:lineRule="auto"/>
        <w:jc w:val="center"/>
        <w:outlineLvl w:val="0"/>
        <w:rPr>
          <w:sz w:val="28"/>
          <w:szCs w:val="28"/>
        </w:rPr>
      </w:pPr>
      <w:r>
        <w:rPr>
          <w:b/>
          <w:bCs/>
          <w:spacing w:val="-1"/>
          <w:sz w:val="28"/>
          <w:szCs w:val="28"/>
        </w:rPr>
        <w:t>分部分项工程和单价措施项目清单与计价表</w:t>
      </w:r>
    </w:p>
    <w:p w14:paraId="5A0C11B4">
      <w:pPr>
        <w:spacing w:before="213" w:line="221" w:lineRule="auto"/>
        <w:ind w:left="74"/>
        <w:rPr>
          <w:rFonts w:ascii="黑体" w:hAnsi="黑体" w:eastAsia="黑体" w:cs="黑体"/>
          <w:sz w:val="18"/>
          <w:szCs w:val="18"/>
        </w:rPr>
      </w:pPr>
      <w:r>
        <w:rPr>
          <w:rFonts w:ascii="黑体" w:hAnsi="黑体" w:eastAsia="黑体" w:cs="黑体"/>
          <w:spacing w:val="1"/>
          <w:sz w:val="18"/>
          <w:szCs w:val="18"/>
        </w:rPr>
        <w:t>工程名称：响水县开发区东风社区道路维修工程                          标段：</w:t>
      </w:r>
    </w:p>
    <w:p w14:paraId="6E93526F">
      <w:pPr>
        <w:spacing w:line="40" w:lineRule="auto"/>
        <w:rPr>
          <w:rFonts w:ascii="Arial"/>
          <w:sz w:val="2"/>
        </w:rPr>
      </w:pPr>
    </w:p>
    <w:p w14:paraId="250939C8">
      <w:pPr>
        <w:spacing w:line="14" w:lineRule="auto"/>
        <w:rPr>
          <w:rFonts w:ascii="Arial"/>
          <w:sz w:val="2"/>
        </w:rPr>
      </w:pPr>
      <w:r>
        <w:rPr>
          <w:rFonts w:ascii="Arial" w:hAnsi="Arial" w:eastAsia="Arial" w:cs="Arial"/>
          <w:sz w:val="2"/>
          <w:szCs w:val="2"/>
        </w:rPr>
        <w:br w:type="column"/>
      </w:r>
    </w:p>
    <w:p w14:paraId="4A663204">
      <w:pPr>
        <w:spacing w:line="268" w:lineRule="auto"/>
        <w:rPr>
          <w:rFonts w:ascii="Arial"/>
          <w:sz w:val="21"/>
        </w:rPr>
      </w:pPr>
    </w:p>
    <w:p w14:paraId="2799C8B3">
      <w:pPr>
        <w:spacing w:line="268" w:lineRule="auto"/>
        <w:rPr>
          <w:rFonts w:ascii="Arial"/>
          <w:sz w:val="21"/>
        </w:rPr>
      </w:pPr>
    </w:p>
    <w:p w14:paraId="7AD31465">
      <w:pPr>
        <w:spacing w:before="58" w:line="222" w:lineRule="auto"/>
        <w:jc w:val="right"/>
        <w:rPr>
          <w:rFonts w:ascii="黑体" w:hAnsi="黑体" w:eastAsia="黑体" w:cs="黑体"/>
          <w:sz w:val="18"/>
          <w:szCs w:val="18"/>
        </w:rPr>
      </w:pPr>
      <w:r>
        <w:rPr>
          <w:rFonts w:ascii="黑体" w:hAnsi="黑体" w:eastAsia="黑体" w:cs="黑体"/>
          <w:spacing w:val="-3"/>
          <w:sz w:val="18"/>
          <w:szCs w:val="18"/>
        </w:rPr>
        <w:t>第1页</w:t>
      </w:r>
    </w:p>
    <w:p w14:paraId="28DC8D19">
      <w:pPr>
        <w:spacing w:line="14" w:lineRule="auto"/>
        <w:rPr>
          <w:rFonts w:ascii="Arial"/>
          <w:sz w:val="2"/>
        </w:rPr>
      </w:pPr>
      <w:r>
        <w:rPr>
          <w:rFonts w:ascii="Arial" w:hAnsi="Arial" w:eastAsia="Arial" w:cs="Arial"/>
          <w:sz w:val="2"/>
          <w:szCs w:val="2"/>
        </w:rPr>
        <w:br w:type="column"/>
      </w:r>
    </w:p>
    <w:p w14:paraId="4CCEF071">
      <w:pPr>
        <w:spacing w:line="268" w:lineRule="auto"/>
        <w:rPr>
          <w:rFonts w:ascii="Arial"/>
          <w:sz w:val="21"/>
        </w:rPr>
      </w:pPr>
    </w:p>
    <w:p w14:paraId="0D550BA5">
      <w:pPr>
        <w:spacing w:line="268" w:lineRule="auto"/>
        <w:rPr>
          <w:rFonts w:ascii="Arial"/>
          <w:sz w:val="21"/>
        </w:rPr>
      </w:pPr>
    </w:p>
    <w:p w14:paraId="531F2813">
      <w:pPr>
        <w:spacing w:before="59" w:line="222" w:lineRule="auto"/>
        <w:ind w:left="102"/>
        <w:rPr>
          <w:rFonts w:ascii="黑体" w:hAnsi="黑体" w:eastAsia="黑体" w:cs="黑体"/>
          <w:sz w:val="18"/>
          <w:szCs w:val="18"/>
        </w:rPr>
      </w:pPr>
      <w:r>
        <w:rPr>
          <w:rFonts w:ascii="黑体" w:hAnsi="黑体" w:eastAsia="黑体" w:cs="黑体"/>
          <w:spacing w:val="-3"/>
          <w:sz w:val="18"/>
          <w:szCs w:val="18"/>
        </w:rPr>
        <w:t>共1页</w:t>
      </w:r>
    </w:p>
    <w:p w14:paraId="1FF41E7A">
      <w:pPr>
        <w:spacing w:line="222" w:lineRule="auto"/>
        <w:rPr>
          <w:rFonts w:ascii="黑体" w:hAnsi="黑体" w:eastAsia="黑体" w:cs="黑体"/>
          <w:sz w:val="18"/>
          <w:szCs w:val="18"/>
        </w:rPr>
        <w:sectPr>
          <w:footerReference r:id="rId7" w:type="first"/>
          <w:footerReference r:id="rId6" w:type="default"/>
          <w:pgSz w:w="11905" w:h="16837"/>
          <w:pgMar w:top="724" w:right="545" w:bottom="0" w:left="820" w:header="850" w:footer="992" w:gutter="0"/>
          <w:pgNumType w:fmt="decimal"/>
          <w:cols w:equalWidth="0" w:num="3">
            <w:col w:w="8999" w:space="100"/>
            <w:col w:w="720" w:space="0"/>
            <w:col w:w="720"/>
          </w:cols>
          <w:titlePg/>
        </w:sectPr>
      </w:pPr>
    </w:p>
    <w:p w14:paraId="5266DF07">
      <w:pPr>
        <w:spacing w:line="20" w:lineRule="auto"/>
        <w:rPr>
          <w:rFonts w:ascii="Arial"/>
          <w:sz w:val="2"/>
        </w:rPr>
      </w:pPr>
    </w:p>
    <w:tbl>
      <w:tblPr>
        <w:tblStyle w:val="26"/>
        <w:tblW w:w="10364" w:type="dxa"/>
        <w:tblInd w:w="1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62"/>
        <w:gridCol w:w="1493"/>
        <w:gridCol w:w="1619"/>
        <w:gridCol w:w="1871"/>
        <w:gridCol w:w="643"/>
        <w:gridCol w:w="959"/>
        <w:gridCol w:w="959"/>
        <w:gridCol w:w="1179"/>
        <w:gridCol w:w="1079"/>
      </w:tblGrid>
      <w:tr w14:paraId="7A0BC4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9" w:hRule="atLeast"/>
        </w:trPr>
        <w:tc>
          <w:tcPr>
            <w:tcW w:w="562" w:type="dxa"/>
            <w:vMerge w:val="restart"/>
            <w:tcBorders>
              <w:top w:val="single" w:color="000000" w:sz="14" w:space="0"/>
              <w:left w:val="single" w:color="000000" w:sz="14" w:space="0"/>
              <w:bottom w:val="nil"/>
            </w:tcBorders>
            <w:vAlign w:val="top"/>
          </w:tcPr>
          <w:p w14:paraId="7D77A351">
            <w:pPr>
              <w:pStyle w:val="27"/>
              <w:spacing w:line="358" w:lineRule="auto"/>
            </w:pPr>
          </w:p>
          <w:p w14:paraId="089B48CF">
            <w:pPr>
              <w:spacing w:before="58" w:line="223" w:lineRule="auto"/>
              <w:ind w:left="92"/>
              <w:rPr>
                <w:rFonts w:ascii="黑体" w:hAnsi="黑体" w:eastAsia="黑体" w:cs="黑体"/>
                <w:sz w:val="18"/>
                <w:szCs w:val="18"/>
              </w:rPr>
            </w:pPr>
            <w:r>
              <w:rPr>
                <w:rFonts w:ascii="黑体" w:hAnsi="黑体" w:eastAsia="黑体" w:cs="黑体"/>
                <w:b/>
                <w:bCs/>
                <w:spacing w:val="-3"/>
                <w:sz w:val="18"/>
                <w:szCs w:val="18"/>
              </w:rPr>
              <w:t>序号</w:t>
            </w:r>
          </w:p>
        </w:tc>
        <w:tc>
          <w:tcPr>
            <w:tcW w:w="1493" w:type="dxa"/>
            <w:vMerge w:val="restart"/>
            <w:tcBorders>
              <w:top w:val="single" w:color="000000" w:sz="14" w:space="0"/>
              <w:bottom w:val="nil"/>
            </w:tcBorders>
            <w:vAlign w:val="top"/>
          </w:tcPr>
          <w:p w14:paraId="6B51C871">
            <w:pPr>
              <w:pStyle w:val="27"/>
              <w:spacing w:line="357" w:lineRule="auto"/>
            </w:pPr>
          </w:p>
          <w:p w14:paraId="729BA897">
            <w:pPr>
              <w:spacing w:before="59" w:line="221" w:lineRule="auto"/>
              <w:ind w:left="370"/>
              <w:rPr>
                <w:rFonts w:ascii="黑体" w:hAnsi="黑体" w:eastAsia="黑体" w:cs="黑体"/>
                <w:sz w:val="18"/>
                <w:szCs w:val="18"/>
              </w:rPr>
            </w:pPr>
            <w:r>
              <w:rPr>
                <w:rFonts w:ascii="黑体" w:hAnsi="黑体" w:eastAsia="黑体" w:cs="黑体"/>
                <w:b/>
                <w:bCs/>
                <w:sz w:val="18"/>
                <w:szCs w:val="18"/>
              </w:rPr>
              <w:t>项目编码</w:t>
            </w:r>
          </w:p>
        </w:tc>
        <w:tc>
          <w:tcPr>
            <w:tcW w:w="1619" w:type="dxa"/>
            <w:vMerge w:val="restart"/>
            <w:tcBorders>
              <w:top w:val="single" w:color="000000" w:sz="14" w:space="0"/>
              <w:bottom w:val="nil"/>
            </w:tcBorders>
            <w:vAlign w:val="top"/>
          </w:tcPr>
          <w:p w14:paraId="2094B0D3">
            <w:pPr>
              <w:pStyle w:val="27"/>
              <w:spacing w:line="357" w:lineRule="auto"/>
            </w:pPr>
          </w:p>
          <w:p w14:paraId="1C925B0E">
            <w:pPr>
              <w:spacing w:before="59" w:line="222" w:lineRule="auto"/>
              <w:ind w:left="440"/>
              <w:rPr>
                <w:rFonts w:ascii="黑体" w:hAnsi="黑体" w:eastAsia="黑体" w:cs="黑体"/>
                <w:sz w:val="18"/>
                <w:szCs w:val="18"/>
              </w:rPr>
            </w:pPr>
            <w:r>
              <w:rPr>
                <w:rFonts w:ascii="黑体" w:hAnsi="黑体" w:eastAsia="黑体" w:cs="黑体"/>
                <w:b/>
                <w:bCs/>
                <w:sz w:val="18"/>
                <w:szCs w:val="18"/>
              </w:rPr>
              <w:t>项目名称</w:t>
            </w:r>
          </w:p>
        </w:tc>
        <w:tc>
          <w:tcPr>
            <w:tcW w:w="1871" w:type="dxa"/>
            <w:vMerge w:val="restart"/>
            <w:tcBorders>
              <w:top w:val="single" w:color="000000" w:sz="14" w:space="0"/>
              <w:bottom w:val="nil"/>
            </w:tcBorders>
            <w:vAlign w:val="top"/>
          </w:tcPr>
          <w:p w14:paraId="3189593B">
            <w:pPr>
              <w:pStyle w:val="27"/>
              <w:spacing w:line="357" w:lineRule="auto"/>
            </w:pPr>
          </w:p>
          <w:p w14:paraId="3ED71228">
            <w:pPr>
              <w:spacing w:before="59" w:line="221" w:lineRule="auto"/>
              <w:ind w:left="385"/>
              <w:rPr>
                <w:rFonts w:ascii="黑体" w:hAnsi="黑体" w:eastAsia="黑体" w:cs="黑体"/>
                <w:sz w:val="18"/>
                <w:szCs w:val="18"/>
              </w:rPr>
            </w:pPr>
            <w:r>
              <w:rPr>
                <w:rFonts w:ascii="黑体" w:hAnsi="黑体" w:eastAsia="黑体" w:cs="黑体"/>
                <w:b/>
                <w:bCs/>
                <w:spacing w:val="1"/>
                <w:sz w:val="18"/>
                <w:szCs w:val="18"/>
              </w:rPr>
              <w:t>项目特征描述</w:t>
            </w:r>
          </w:p>
        </w:tc>
        <w:tc>
          <w:tcPr>
            <w:tcW w:w="643" w:type="dxa"/>
            <w:vMerge w:val="restart"/>
            <w:tcBorders>
              <w:top w:val="single" w:color="000000" w:sz="14" w:space="0"/>
              <w:bottom w:val="nil"/>
            </w:tcBorders>
            <w:vAlign w:val="top"/>
          </w:tcPr>
          <w:p w14:paraId="16A99DFC">
            <w:pPr>
              <w:pStyle w:val="27"/>
              <w:spacing w:line="245" w:lineRule="auto"/>
            </w:pPr>
          </w:p>
          <w:p w14:paraId="277D3F3A">
            <w:pPr>
              <w:spacing w:before="58" w:line="234" w:lineRule="auto"/>
              <w:ind w:left="150" w:right="123" w:hanging="4"/>
              <w:rPr>
                <w:rFonts w:ascii="黑体" w:hAnsi="黑体" w:eastAsia="黑体" w:cs="黑体"/>
                <w:sz w:val="18"/>
                <w:szCs w:val="18"/>
              </w:rPr>
            </w:pPr>
            <w:r>
              <w:rPr>
                <w:rFonts w:ascii="黑体" w:hAnsi="黑体" w:eastAsia="黑体" w:cs="黑体"/>
                <w:b/>
                <w:bCs/>
                <w:spacing w:val="-4"/>
                <w:sz w:val="18"/>
                <w:szCs w:val="18"/>
              </w:rPr>
              <w:t>计量</w:t>
            </w:r>
            <w:r>
              <w:rPr>
                <w:rFonts w:ascii="黑体" w:hAnsi="黑体" w:eastAsia="黑体" w:cs="黑体"/>
                <w:b/>
                <w:bCs/>
                <w:spacing w:val="-6"/>
                <w:sz w:val="18"/>
                <w:szCs w:val="18"/>
              </w:rPr>
              <w:t>单位</w:t>
            </w:r>
          </w:p>
        </w:tc>
        <w:tc>
          <w:tcPr>
            <w:tcW w:w="959" w:type="dxa"/>
            <w:vMerge w:val="restart"/>
            <w:tcBorders>
              <w:top w:val="single" w:color="000000" w:sz="14" w:space="0"/>
              <w:bottom w:val="nil"/>
            </w:tcBorders>
            <w:vAlign w:val="top"/>
          </w:tcPr>
          <w:p w14:paraId="6CF30C7D">
            <w:pPr>
              <w:pStyle w:val="27"/>
              <w:spacing w:line="357" w:lineRule="auto"/>
            </w:pPr>
          </w:p>
          <w:p w14:paraId="008EF5F0">
            <w:pPr>
              <w:spacing w:before="59" w:line="222" w:lineRule="auto"/>
              <w:ind w:left="214"/>
              <w:rPr>
                <w:rFonts w:ascii="黑体" w:hAnsi="黑体" w:eastAsia="黑体" w:cs="黑体"/>
                <w:sz w:val="18"/>
                <w:szCs w:val="18"/>
              </w:rPr>
            </w:pPr>
            <w:r>
              <w:rPr>
                <w:rFonts w:ascii="黑体" w:hAnsi="黑体" w:eastAsia="黑体" w:cs="黑体"/>
                <w:b/>
                <w:bCs/>
                <w:spacing w:val="-2"/>
                <w:sz w:val="18"/>
                <w:szCs w:val="18"/>
              </w:rPr>
              <w:t>工程量</w:t>
            </w:r>
          </w:p>
        </w:tc>
        <w:tc>
          <w:tcPr>
            <w:tcW w:w="3217" w:type="dxa"/>
            <w:gridSpan w:val="3"/>
            <w:tcBorders>
              <w:top w:val="single" w:color="000000" w:sz="14" w:space="0"/>
              <w:right w:val="single" w:color="000000" w:sz="14" w:space="0"/>
            </w:tcBorders>
            <w:vAlign w:val="top"/>
          </w:tcPr>
          <w:p w14:paraId="47AB15AD">
            <w:pPr>
              <w:spacing w:before="77" w:line="222" w:lineRule="auto"/>
              <w:ind w:left="1163"/>
              <w:rPr>
                <w:rFonts w:ascii="黑体" w:hAnsi="黑体" w:eastAsia="黑体" w:cs="黑体"/>
                <w:sz w:val="18"/>
                <w:szCs w:val="18"/>
              </w:rPr>
            </w:pPr>
            <w:r>
              <w:rPr>
                <w:rFonts w:ascii="黑体" w:hAnsi="黑体" w:eastAsia="黑体" w:cs="黑体"/>
                <w:b/>
                <w:bCs/>
                <w:spacing w:val="-1"/>
                <w:sz w:val="18"/>
                <w:szCs w:val="18"/>
              </w:rPr>
              <w:t>金额（元）</w:t>
            </w:r>
          </w:p>
        </w:tc>
      </w:tr>
      <w:tr w14:paraId="0AE482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vMerge w:val="continue"/>
            <w:tcBorders>
              <w:top w:val="nil"/>
              <w:left w:val="single" w:color="000000" w:sz="14" w:space="0"/>
              <w:bottom w:val="nil"/>
            </w:tcBorders>
            <w:vAlign w:val="top"/>
          </w:tcPr>
          <w:p w14:paraId="65FCA15B">
            <w:pPr>
              <w:pStyle w:val="27"/>
            </w:pPr>
          </w:p>
        </w:tc>
        <w:tc>
          <w:tcPr>
            <w:tcW w:w="1493" w:type="dxa"/>
            <w:vMerge w:val="continue"/>
            <w:tcBorders>
              <w:top w:val="nil"/>
              <w:bottom w:val="nil"/>
            </w:tcBorders>
            <w:vAlign w:val="top"/>
          </w:tcPr>
          <w:p w14:paraId="54F0F44E">
            <w:pPr>
              <w:pStyle w:val="27"/>
            </w:pPr>
          </w:p>
        </w:tc>
        <w:tc>
          <w:tcPr>
            <w:tcW w:w="1619" w:type="dxa"/>
            <w:vMerge w:val="continue"/>
            <w:tcBorders>
              <w:top w:val="nil"/>
              <w:bottom w:val="nil"/>
            </w:tcBorders>
            <w:vAlign w:val="top"/>
          </w:tcPr>
          <w:p w14:paraId="42735E96">
            <w:pPr>
              <w:pStyle w:val="27"/>
            </w:pPr>
          </w:p>
        </w:tc>
        <w:tc>
          <w:tcPr>
            <w:tcW w:w="1871" w:type="dxa"/>
            <w:vMerge w:val="continue"/>
            <w:tcBorders>
              <w:top w:val="nil"/>
              <w:bottom w:val="nil"/>
            </w:tcBorders>
            <w:vAlign w:val="top"/>
          </w:tcPr>
          <w:p w14:paraId="5C2605F0">
            <w:pPr>
              <w:pStyle w:val="27"/>
            </w:pPr>
          </w:p>
        </w:tc>
        <w:tc>
          <w:tcPr>
            <w:tcW w:w="643" w:type="dxa"/>
            <w:vMerge w:val="continue"/>
            <w:tcBorders>
              <w:top w:val="nil"/>
              <w:bottom w:val="nil"/>
            </w:tcBorders>
            <w:vAlign w:val="top"/>
          </w:tcPr>
          <w:p w14:paraId="14953A78">
            <w:pPr>
              <w:pStyle w:val="27"/>
            </w:pPr>
          </w:p>
        </w:tc>
        <w:tc>
          <w:tcPr>
            <w:tcW w:w="959" w:type="dxa"/>
            <w:vMerge w:val="continue"/>
            <w:tcBorders>
              <w:top w:val="nil"/>
              <w:bottom w:val="nil"/>
            </w:tcBorders>
            <w:vAlign w:val="top"/>
          </w:tcPr>
          <w:p w14:paraId="55B79F14">
            <w:pPr>
              <w:pStyle w:val="27"/>
            </w:pPr>
          </w:p>
        </w:tc>
        <w:tc>
          <w:tcPr>
            <w:tcW w:w="959" w:type="dxa"/>
            <w:vMerge w:val="restart"/>
            <w:tcBorders>
              <w:bottom w:val="nil"/>
            </w:tcBorders>
            <w:vAlign w:val="top"/>
          </w:tcPr>
          <w:p w14:paraId="6C67A3F7">
            <w:pPr>
              <w:spacing w:before="247" w:line="222" w:lineRule="auto"/>
              <w:ind w:left="124"/>
              <w:rPr>
                <w:rFonts w:ascii="黑体" w:hAnsi="黑体" w:eastAsia="黑体" w:cs="黑体"/>
                <w:sz w:val="18"/>
                <w:szCs w:val="18"/>
              </w:rPr>
            </w:pPr>
            <w:r>
              <w:rPr>
                <w:rFonts w:ascii="黑体" w:hAnsi="黑体" w:eastAsia="黑体" w:cs="黑体"/>
                <w:b/>
                <w:bCs/>
                <w:sz w:val="18"/>
                <w:szCs w:val="18"/>
              </w:rPr>
              <w:t>综合单价</w:t>
            </w:r>
          </w:p>
        </w:tc>
        <w:tc>
          <w:tcPr>
            <w:tcW w:w="1179" w:type="dxa"/>
            <w:vMerge w:val="restart"/>
            <w:tcBorders>
              <w:bottom w:val="nil"/>
            </w:tcBorders>
            <w:vAlign w:val="top"/>
          </w:tcPr>
          <w:p w14:paraId="47906685">
            <w:pPr>
              <w:spacing w:before="247" w:line="222" w:lineRule="auto"/>
              <w:ind w:left="425"/>
              <w:rPr>
                <w:rFonts w:ascii="黑体" w:hAnsi="黑体" w:eastAsia="黑体" w:cs="黑体"/>
                <w:sz w:val="18"/>
                <w:szCs w:val="18"/>
              </w:rPr>
            </w:pPr>
            <w:r>
              <w:rPr>
                <w:rFonts w:ascii="黑体" w:hAnsi="黑体" w:eastAsia="黑体" w:cs="黑体"/>
                <w:b/>
                <w:bCs/>
                <w:spacing w:val="-4"/>
                <w:sz w:val="18"/>
                <w:szCs w:val="18"/>
              </w:rPr>
              <w:t>合价</w:t>
            </w:r>
          </w:p>
        </w:tc>
        <w:tc>
          <w:tcPr>
            <w:tcW w:w="1079" w:type="dxa"/>
            <w:tcBorders>
              <w:right w:val="single" w:color="000000" w:sz="14" w:space="0"/>
            </w:tcBorders>
            <w:vAlign w:val="top"/>
          </w:tcPr>
          <w:p w14:paraId="332F5E56">
            <w:pPr>
              <w:spacing w:before="78" w:line="222" w:lineRule="auto"/>
              <w:ind w:left="376"/>
              <w:rPr>
                <w:rFonts w:ascii="黑体" w:hAnsi="黑体" w:eastAsia="黑体" w:cs="黑体"/>
                <w:sz w:val="18"/>
                <w:szCs w:val="18"/>
              </w:rPr>
            </w:pPr>
            <w:r>
              <w:rPr>
                <w:rFonts w:ascii="黑体" w:hAnsi="黑体" w:eastAsia="黑体" w:cs="黑体"/>
                <w:b/>
                <w:bCs/>
                <w:spacing w:val="-4"/>
                <w:sz w:val="18"/>
                <w:szCs w:val="18"/>
              </w:rPr>
              <w:t>其中</w:t>
            </w:r>
          </w:p>
        </w:tc>
      </w:tr>
      <w:tr w14:paraId="6443DD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vMerge w:val="continue"/>
            <w:tcBorders>
              <w:top w:val="nil"/>
              <w:left w:val="single" w:color="000000" w:sz="14" w:space="0"/>
            </w:tcBorders>
            <w:vAlign w:val="top"/>
          </w:tcPr>
          <w:p w14:paraId="502E5864">
            <w:pPr>
              <w:pStyle w:val="27"/>
            </w:pPr>
          </w:p>
        </w:tc>
        <w:tc>
          <w:tcPr>
            <w:tcW w:w="1493" w:type="dxa"/>
            <w:vMerge w:val="continue"/>
            <w:tcBorders>
              <w:top w:val="nil"/>
            </w:tcBorders>
            <w:vAlign w:val="top"/>
          </w:tcPr>
          <w:p w14:paraId="084781F2">
            <w:pPr>
              <w:pStyle w:val="27"/>
            </w:pPr>
          </w:p>
        </w:tc>
        <w:tc>
          <w:tcPr>
            <w:tcW w:w="1619" w:type="dxa"/>
            <w:vMerge w:val="continue"/>
            <w:tcBorders>
              <w:top w:val="nil"/>
            </w:tcBorders>
            <w:vAlign w:val="top"/>
          </w:tcPr>
          <w:p w14:paraId="2E268179">
            <w:pPr>
              <w:pStyle w:val="27"/>
            </w:pPr>
          </w:p>
        </w:tc>
        <w:tc>
          <w:tcPr>
            <w:tcW w:w="1871" w:type="dxa"/>
            <w:vMerge w:val="continue"/>
            <w:tcBorders>
              <w:top w:val="nil"/>
            </w:tcBorders>
            <w:vAlign w:val="top"/>
          </w:tcPr>
          <w:p w14:paraId="049B79A6">
            <w:pPr>
              <w:pStyle w:val="27"/>
            </w:pPr>
          </w:p>
        </w:tc>
        <w:tc>
          <w:tcPr>
            <w:tcW w:w="643" w:type="dxa"/>
            <w:vMerge w:val="continue"/>
            <w:tcBorders>
              <w:top w:val="nil"/>
            </w:tcBorders>
            <w:vAlign w:val="top"/>
          </w:tcPr>
          <w:p w14:paraId="0D99C290">
            <w:pPr>
              <w:pStyle w:val="27"/>
            </w:pPr>
          </w:p>
        </w:tc>
        <w:tc>
          <w:tcPr>
            <w:tcW w:w="959" w:type="dxa"/>
            <w:vMerge w:val="continue"/>
            <w:tcBorders>
              <w:top w:val="nil"/>
            </w:tcBorders>
            <w:vAlign w:val="top"/>
          </w:tcPr>
          <w:p w14:paraId="4E4FE11E">
            <w:pPr>
              <w:pStyle w:val="27"/>
            </w:pPr>
          </w:p>
        </w:tc>
        <w:tc>
          <w:tcPr>
            <w:tcW w:w="959" w:type="dxa"/>
            <w:vMerge w:val="continue"/>
            <w:tcBorders>
              <w:top w:val="nil"/>
            </w:tcBorders>
            <w:vAlign w:val="top"/>
          </w:tcPr>
          <w:p w14:paraId="2BC1A4A4">
            <w:pPr>
              <w:pStyle w:val="27"/>
            </w:pPr>
          </w:p>
        </w:tc>
        <w:tc>
          <w:tcPr>
            <w:tcW w:w="1179" w:type="dxa"/>
            <w:vMerge w:val="continue"/>
            <w:tcBorders>
              <w:top w:val="nil"/>
            </w:tcBorders>
            <w:vAlign w:val="top"/>
          </w:tcPr>
          <w:p w14:paraId="49F39732">
            <w:pPr>
              <w:pStyle w:val="27"/>
            </w:pPr>
          </w:p>
        </w:tc>
        <w:tc>
          <w:tcPr>
            <w:tcW w:w="1079" w:type="dxa"/>
            <w:tcBorders>
              <w:right w:val="single" w:color="000000" w:sz="14" w:space="0"/>
            </w:tcBorders>
            <w:vAlign w:val="top"/>
          </w:tcPr>
          <w:p w14:paraId="6825BA83">
            <w:pPr>
              <w:spacing w:before="77" w:line="222" w:lineRule="auto"/>
              <w:ind w:left="286"/>
              <w:rPr>
                <w:rFonts w:ascii="黑体" w:hAnsi="黑体" w:eastAsia="黑体" w:cs="黑体"/>
                <w:sz w:val="18"/>
                <w:szCs w:val="18"/>
              </w:rPr>
            </w:pPr>
            <w:r>
              <w:rPr>
                <w:rFonts w:ascii="黑体" w:hAnsi="黑体" w:eastAsia="黑体" w:cs="黑体"/>
                <w:b/>
                <w:bCs/>
                <w:spacing w:val="-3"/>
                <w:sz w:val="18"/>
                <w:szCs w:val="18"/>
              </w:rPr>
              <w:t>暂估价</w:t>
            </w:r>
          </w:p>
        </w:tc>
      </w:tr>
      <w:tr w14:paraId="0BA5F4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81" w:hRule="atLeast"/>
        </w:trPr>
        <w:tc>
          <w:tcPr>
            <w:tcW w:w="562" w:type="dxa"/>
            <w:tcBorders>
              <w:left w:val="single" w:color="000000" w:sz="14" w:space="0"/>
            </w:tcBorders>
            <w:vAlign w:val="top"/>
          </w:tcPr>
          <w:p w14:paraId="262AFC25">
            <w:pPr>
              <w:pStyle w:val="27"/>
              <w:spacing w:line="347" w:lineRule="auto"/>
            </w:pPr>
          </w:p>
          <w:p w14:paraId="749F8995">
            <w:pPr>
              <w:spacing w:before="58" w:line="241" w:lineRule="auto"/>
              <w:ind w:left="244"/>
              <w:rPr>
                <w:rFonts w:ascii="宋体" w:hAnsi="宋体" w:eastAsia="宋体" w:cs="宋体"/>
                <w:sz w:val="18"/>
                <w:szCs w:val="18"/>
              </w:rPr>
            </w:pPr>
            <w:r>
              <w:rPr>
                <w:rFonts w:ascii="宋体" w:hAnsi="宋体" w:eastAsia="宋体" w:cs="宋体"/>
                <w:sz w:val="18"/>
                <w:szCs w:val="18"/>
              </w:rPr>
              <w:t>1</w:t>
            </w:r>
          </w:p>
        </w:tc>
        <w:tc>
          <w:tcPr>
            <w:tcW w:w="1493" w:type="dxa"/>
            <w:vAlign w:val="top"/>
          </w:tcPr>
          <w:p w14:paraId="00D193F2">
            <w:pPr>
              <w:pStyle w:val="27"/>
              <w:spacing w:line="346" w:lineRule="auto"/>
            </w:pPr>
          </w:p>
          <w:p w14:paraId="3DC5C880">
            <w:pPr>
              <w:spacing w:before="59"/>
              <w:ind w:left="196"/>
              <w:rPr>
                <w:rFonts w:ascii="宋体" w:hAnsi="宋体" w:eastAsia="宋体" w:cs="宋体"/>
                <w:sz w:val="18"/>
                <w:szCs w:val="18"/>
              </w:rPr>
            </w:pPr>
            <w:r>
              <w:rPr>
                <w:rFonts w:ascii="宋体" w:hAnsi="宋体" w:eastAsia="宋体" w:cs="宋体"/>
                <w:sz w:val="18"/>
                <w:szCs w:val="18"/>
              </w:rPr>
              <w:t>040203006001</w:t>
            </w:r>
          </w:p>
        </w:tc>
        <w:tc>
          <w:tcPr>
            <w:tcW w:w="1619" w:type="dxa"/>
            <w:vAlign w:val="top"/>
          </w:tcPr>
          <w:p w14:paraId="5D22DEDF">
            <w:pPr>
              <w:pStyle w:val="27"/>
              <w:spacing w:line="346" w:lineRule="auto"/>
            </w:pPr>
          </w:p>
          <w:p w14:paraId="432A7695">
            <w:pPr>
              <w:spacing w:before="59" w:line="219" w:lineRule="auto"/>
              <w:ind w:left="29"/>
              <w:rPr>
                <w:rFonts w:ascii="宋体" w:hAnsi="宋体" w:eastAsia="宋体" w:cs="宋体"/>
                <w:sz w:val="18"/>
                <w:szCs w:val="18"/>
              </w:rPr>
            </w:pPr>
            <w:r>
              <w:rPr>
                <w:rFonts w:ascii="宋体" w:hAnsi="宋体" w:eastAsia="宋体" w:cs="宋体"/>
                <w:spacing w:val="-2"/>
                <w:sz w:val="18"/>
                <w:szCs w:val="18"/>
              </w:rPr>
              <w:t>沥青路面</w:t>
            </w:r>
          </w:p>
        </w:tc>
        <w:tc>
          <w:tcPr>
            <w:tcW w:w="1871" w:type="dxa"/>
            <w:vAlign w:val="top"/>
          </w:tcPr>
          <w:p w14:paraId="156B259A">
            <w:pPr>
              <w:spacing w:before="72" w:line="230" w:lineRule="auto"/>
              <w:ind w:left="34" w:right="15" w:firstLine="14"/>
              <w:rPr>
                <w:rFonts w:ascii="宋体" w:hAnsi="宋体" w:eastAsia="宋体" w:cs="宋体"/>
                <w:sz w:val="18"/>
                <w:szCs w:val="18"/>
              </w:rPr>
            </w:pPr>
            <w:r>
              <w:rPr>
                <w:rFonts w:ascii="宋体" w:hAnsi="宋体" w:eastAsia="宋体" w:cs="宋体"/>
                <w:spacing w:val="-1"/>
                <w:sz w:val="18"/>
                <w:szCs w:val="18"/>
              </w:rPr>
              <w:t>1、4cm AC-13C 沥青混</w:t>
            </w:r>
            <w:r>
              <w:rPr>
                <w:rFonts w:ascii="宋体" w:hAnsi="宋体" w:eastAsia="宋体" w:cs="宋体"/>
                <w:spacing w:val="-4"/>
                <w:sz w:val="18"/>
                <w:szCs w:val="18"/>
              </w:rPr>
              <w:t>凝土</w:t>
            </w:r>
          </w:p>
          <w:p w14:paraId="0A87D924">
            <w:pPr>
              <w:spacing w:before="1" w:line="230" w:lineRule="auto"/>
              <w:ind w:left="34" w:right="116" w:firstLine="2"/>
              <w:rPr>
                <w:rFonts w:ascii="宋体" w:hAnsi="宋体" w:eastAsia="宋体" w:cs="宋体"/>
                <w:sz w:val="18"/>
                <w:szCs w:val="18"/>
              </w:rPr>
            </w:pPr>
            <w:r>
              <w:rPr>
                <w:rFonts w:ascii="宋体" w:hAnsi="宋体" w:eastAsia="宋体" w:cs="宋体"/>
                <w:spacing w:val="-1"/>
                <w:sz w:val="18"/>
                <w:szCs w:val="18"/>
              </w:rPr>
              <w:t>2、底层清洗，符合摊</w:t>
            </w:r>
            <w:r>
              <w:rPr>
                <w:rFonts w:ascii="宋体" w:hAnsi="宋体" w:eastAsia="宋体" w:cs="宋体"/>
                <w:spacing w:val="-2"/>
                <w:sz w:val="18"/>
                <w:szCs w:val="18"/>
              </w:rPr>
              <w:t>铺沥青要求</w:t>
            </w:r>
          </w:p>
        </w:tc>
        <w:tc>
          <w:tcPr>
            <w:tcW w:w="643" w:type="dxa"/>
            <w:vAlign w:val="top"/>
          </w:tcPr>
          <w:p w14:paraId="57A3C113">
            <w:pPr>
              <w:pStyle w:val="27"/>
              <w:spacing w:line="347" w:lineRule="auto"/>
            </w:pPr>
          </w:p>
          <w:p w14:paraId="0C49A563">
            <w:pPr>
              <w:spacing w:before="58" w:line="241" w:lineRule="auto"/>
              <w:ind w:left="235"/>
              <w:rPr>
                <w:rFonts w:ascii="宋体" w:hAnsi="宋体" w:eastAsia="宋体" w:cs="宋体"/>
                <w:sz w:val="18"/>
                <w:szCs w:val="18"/>
              </w:rPr>
            </w:pPr>
            <w:r>
              <w:rPr>
                <w:rFonts w:ascii="宋体" w:hAnsi="宋体" w:eastAsia="宋体" w:cs="宋体"/>
                <w:spacing w:val="-1"/>
                <w:sz w:val="18"/>
                <w:szCs w:val="18"/>
              </w:rPr>
              <w:t>m2</w:t>
            </w:r>
          </w:p>
        </w:tc>
        <w:tc>
          <w:tcPr>
            <w:tcW w:w="959" w:type="dxa"/>
            <w:vAlign w:val="top"/>
          </w:tcPr>
          <w:p w14:paraId="72805550">
            <w:pPr>
              <w:pStyle w:val="27"/>
              <w:spacing w:line="346" w:lineRule="auto"/>
            </w:pPr>
          </w:p>
          <w:p w14:paraId="2F527AA3">
            <w:pPr>
              <w:spacing w:before="59"/>
              <w:ind w:right="8"/>
              <w:jc w:val="right"/>
              <w:rPr>
                <w:rFonts w:ascii="宋体" w:hAnsi="宋体" w:eastAsia="宋体" w:cs="宋体"/>
                <w:sz w:val="18"/>
                <w:szCs w:val="18"/>
              </w:rPr>
            </w:pPr>
            <w:r>
              <w:rPr>
                <w:rFonts w:ascii="宋体" w:hAnsi="宋体" w:eastAsia="宋体" w:cs="宋体"/>
                <w:spacing w:val="-2"/>
                <w:sz w:val="18"/>
                <w:szCs w:val="18"/>
              </w:rPr>
              <w:t>5670</w:t>
            </w:r>
          </w:p>
        </w:tc>
        <w:tc>
          <w:tcPr>
            <w:tcW w:w="959" w:type="dxa"/>
            <w:vAlign w:val="top"/>
          </w:tcPr>
          <w:p w14:paraId="7E733208">
            <w:pPr>
              <w:pStyle w:val="27"/>
            </w:pPr>
          </w:p>
        </w:tc>
        <w:tc>
          <w:tcPr>
            <w:tcW w:w="1179" w:type="dxa"/>
            <w:vAlign w:val="top"/>
          </w:tcPr>
          <w:p w14:paraId="40B17DF3">
            <w:pPr>
              <w:pStyle w:val="27"/>
            </w:pPr>
          </w:p>
        </w:tc>
        <w:tc>
          <w:tcPr>
            <w:tcW w:w="1079" w:type="dxa"/>
            <w:tcBorders>
              <w:right w:val="single" w:color="000000" w:sz="14" w:space="0"/>
            </w:tcBorders>
            <w:vAlign w:val="top"/>
          </w:tcPr>
          <w:p w14:paraId="1EBF1657">
            <w:pPr>
              <w:pStyle w:val="27"/>
            </w:pPr>
          </w:p>
        </w:tc>
      </w:tr>
      <w:tr w14:paraId="595C14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20" w:hRule="atLeast"/>
        </w:trPr>
        <w:tc>
          <w:tcPr>
            <w:tcW w:w="562" w:type="dxa"/>
            <w:tcBorders>
              <w:left w:val="single" w:color="000000" w:sz="14" w:space="0"/>
            </w:tcBorders>
            <w:vAlign w:val="top"/>
          </w:tcPr>
          <w:p w14:paraId="6E3CC25E">
            <w:pPr>
              <w:pStyle w:val="27"/>
              <w:spacing w:line="468" w:lineRule="auto"/>
            </w:pPr>
          </w:p>
          <w:p w14:paraId="2442B682">
            <w:pPr>
              <w:spacing w:before="58" w:line="241" w:lineRule="auto"/>
              <w:ind w:left="233"/>
              <w:rPr>
                <w:rFonts w:ascii="宋体" w:hAnsi="宋体" w:eastAsia="宋体" w:cs="宋体"/>
                <w:sz w:val="18"/>
                <w:szCs w:val="18"/>
              </w:rPr>
            </w:pPr>
            <w:r>
              <w:rPr>
                <w:rFonts w:ascii="宋体" w:hAnsi="宋体" w:eastAsia="宋体" w:cs="宋体"/>
                <w:sz w:val="18"/>
                <w:szCs w:val="18"/>
              </w:rPr>
              <w:t>2</w:t>
            </w:r>
          </w:p>
        </w:tc>
        <w:tc>
          <w:tcPr>
            <w:tcW w:w="1493" w:type="dxa"/>
            <w:vAlign w:val="top"/>
          </w:tcPr>
          <w:p w14:paraId="174BD83C">
            <w:pPr>
              <w:pStyle w:val="27"/>
              <w:spacing w:line="467" w:lineRule="auto"/>
            </w:pPr>
          </w:p>
          <w:p w14:paraId="33B8FFAD">
            <w:pPr>
              <w:spacing w:before="59"/>
              <w:ind w:left="196"/>
              <w:rPr>
                <w:rFonts w:ascii="宋体" w:hAnsi="宋体" w:eastAsia="宋体" w:cs="宋体"/>
                <w:sz w:val="18"/>
                <w:szCs w:val="18"/>
              </w:rPr>
            </w:pPr>
            <w:r>
              <w:rPr>
                <w:rFonts w:ascii="宋体" w:hAnsi="宋体" w:eastAsia="宋体" w:cs="宋体"/>
                <w:sz w:val="18"/>
                <w:szCs w:val="18"/>
              </w:rPr>
              <w:t>040205019001</w:t>
            </w:r>
          </w:p>
        </w:tc>
        <w:tc>
          <w:tcPr>
            <w:tcW w:w="1619" w:type="dxa"/>
            <w:vAlign w:val="top"/>
          </w:tcPr>
          <w:p w14:paraId="6EFCE745">
            <w:pPr>
              <w:pStyle w:val="27"/>
              <w:spacing w:line="468" w:lineRule="auto"/>
            </w:pPr>
          </w:p>
          <w:p w14:paraId="3E94866E">
            <w:pPr>
              <w:spacing w:before="59" w:line="219" w:lineRule="auto"/>
              <w:ind w:left="29"/>
              <w:rPr>
                <w:rFonts w:ascii="宋体" w:hAnsi="宋体" w:eastAsia="宋体" w:cs="宋体"/>
                <w:sz w:val="18"/>
                <w:szCs w:val="18"/>
              </w:rPr>
            </w:pPr>
            <w:r>
              <w:rPr>
                <w:rFonts w:ascii="宋体" w:hAnsi="宋体" w:eastAsia="宋体" w:cs="宋体"/>
                <w:spacing w:val="-3"/>
                <w:sz w:val="18"/>
                <w:szCs w:val="18"/>
              </w:rPr>
              <w:t>减速带</w:t>
            </w:r>
          </w:p>
        </w:tc>
        <w:tc>
          <w:tcPr>
            <w:tcW w:w="1871" w:type="dxa"/>
            <w:vAlign w:val="top"/>
          </w:tcPr>
          <w:p w14:paraId="0E9A8669">
            <w:pPr>
              <w:spacing w:before="192" w:line="231" w:lineRule="auto"/>
              <w:ind w:left="40" w:right="27" w:firstLine="8"/>
              <w:rPr>
                <w:rFonts w:ascii="宋体" w:hAnsi="宋体" w:eastAsia="宋体" w:cs="宋体"/>
                <w:sz w:val="18"/>
                <w:szCs w:val="18"/>
              </w:rPr>
            </w:pPr>
            <w:r>
              <w:rPr>
                <w:rFonts w:ascii="宋体" w:hAnsi="宋体" w:eastAsia="宋体" w:cs="宋体"/>
                <w:spacing w:val="-2"/>
                <w:sz w:val="18"/>
                <w:szCs w:val="18"/>
              </w:rPr>
              <w:t>1、材料品种:橡胶减速</w:t>
            </w:r>
            <w:r>
              <w:rPr>
                <w:rFonts w:ascii="宋体" w:hAnsi="宋体" w:eastAsia="宋体" w:cs="宋体"/>
                <w:sz w:val="18"/>
                <w:szCs w:val="18"/>
              </w:rPr>
              <w:t>带</w:t>
            </w:r>
          </w:p>
          <w:p w14:paraId="222029E9">
            <w:pPr>
              <w:spacing w:line="219" w:lineRule="auto"/>
              <w:ind w:left="37"/>
              <w:rPr>
                <w:rFonts w:ascii="宋体" w:hAnsi="宋体" w:eastAsia="宋体" w:cs="宋体"/>
                <w:sz w:val="18"/>
                <w:szCs w:val="18"/>
              </w:rPr>
            </w:pPr>
            <w:r>
              <w:rPr>
                <w:rFonts w:ascii="宋体" w:hAnsi="宋体" w:eastAsia="宋体" w:cs="宋体"/>
                <w:sz w:val="18"/>
                <w:szCs w:val="18"/>
              </w:rPr>
              <w:t>2、规格、型</w:t>
            </w:r>
          </w:p>
          <w:p w14:paraId="22FED08A">
            <w:pPr>
              <w:spacing w:before="11" w:line="221" w:lineRule="auto"/>
              <w:ind w:left="39"/>
              <w:rPr>
                <w:rFonts w:ascii="宋体" w:hAnsi="宋体" w:eastAsia="宋体" w:cs="宋体"/>
                <w:sz w:val="18"/>
                <w:szCs w:val="18"/>
              </w:rPr>
            </w:pPr>
            <w:r>
              <w:rPr>
                <w:rFonts w:ascii="宋体" w:hAnsi="宋体" w:eastAsia="宋体" w:cs="宋体"/>
                <w:sz w:val="18"/>
                <w:szCs w:val="18"/>
              </w:rPr>
              <w:t>号:400mm*300mm*50mm</w:t>
            </w:r>
          </w:p>
        </w:tc>
        <w:tc>
          <w:tcPr>
            <w:tcW w:w="643" w:type="dxa"/>
            <w:vAlign w:val="top"/>
          </w:tcPr>
          <w:p w14:paraId="6E631804">
            <w:pPr>
              <w:pStyle w:val="27"/>
              <w:spacing w:line="468" w:lineRule="auto"/>
            </w:pPr>
          </w:p>
          <w:p w14:paraId="5E8FE203">
            <w:pPr>
              <w:spacing w:before="58" w:line="241" w:lineRule="auto"/>
              <w:ind w:left="281"/>
              <w:rPr>
                <w:rFonts w:ascii="宋体" w:hAnsi="宋体" w:eastAsia="宋体" w:cs="宋体"/>
                <w:sz w:val="18"/>
                <w:szCs w:val="18"/>
              </w:rPr>
            </w:pPr>
            <w:r>
              <w:rPr>
                <w:rFonts w:ascii="宋体" w:hAnsi="宋体" w:eastAsia="宋体" w:cs="宋体"/>
                <w:sz w:val="18"/>
                <w:szCs w:val="18"/>
              </w:rPr>
              <w:t>m</w:t>
            </w:r>
          </w:p>
        </w:tc>
        <w:tc>
          <w:tcPr>
            <w:tcW w:w="959" w:type="dxa"/>
            <w:vAlign w:val="top"/>
          </w:tcPr>
          <w:p w14:paraId="37F36B46">
            <w:pPr>
              <w:pStyle w:val="27"/>
              <w:spacing w:line="467" w:lineRule="auto"/>
            </w:pPr>
          </w:p>
          <w:p w14:paraId="2B4F21B4">
            <w:pPr>
              <w:spacing w:before="59"/>
              <w:ind w:right="8"/>
              <w:jc w:val="right"/>
              <w:rPr>
                <w:rFonts w:ascii="宋体" w:hAnsi="宋体" w:eastAsia="宋体" w:cs="宋体"/>
                <w:sz w:val="18"/>
                <w:szCs w:val="18"/>
              </w:rPr>
            </w:pPr>
            <w:r>
              <w:rPr>
                <w:rFonts w:ascii="宋体" w:hAnsi="宋体" w:eastAsia="宋体" w:cs="宋体"/>
                <w:spacing w:val="-5"/>
                <w:sz w:val="18"/>
                <w:szCs w:val="18"/>
              </w:rPr>
              <w:t>26</w:t>
            </w:r>
          </w:p>
        </w:tc>
        <w:tc>
          <w:tcPr>
            <w:tcW w:w="959" w:type="dxa"/>
            <w:vAlign w:val="top"/>
          </w:tcPr>
          <w:p w14:paraId="71CC3D0F">
            <w:pPr>
              <w:pStyle w:val="27"/>
            </w:pPr>
          </w:p>
        </w:tc>
        <w:tc>
          <w:tcPr>
            <w:tcW w:w="1179" w:type="dxa"/>
            <w:vAlign w:val="top"/>
          </w:tcPr>
          <w:p w14:paraId="133E41C5">
            <w:pPr>
              <w:pStyle w:val="27"/>
            </w:pPr>
          </w:p>
        </w:tc>
        <w:tc>
          <w:tcPr>
            <w:tcW w:w="1079" w:type="dxa"/>
            <w:tcBorders>
              <w:right w:val="single" w:color="000000" w:sz="14" w:space="0"/>
            </w:tcBorders>
            <w:vAlign w:val="top"/>
          </w:tcPr>
          <w:p w14:paraId="321A37B2">
            <w:pPr>
              <w:pStyle w:val="27"/>
            </w:pPr>
          </w:p>
        </w:tc>
      </w:tr>
      <w:tr w14:paraId="026ECA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81" w:hRule="atLeast"/>
        </w:trPr>
        <w:tc>
          <w:tcPr>
            <w:tcW w:w="562" w:type="dxa"/>
            <w:tcBorders>
              <w:left w:val="single" w:color="000000" w:sz="14" w:space="0"/>
            </w:tcBorders>
            <w:vAlign w:val="top"/>
          </w:tcPr>
          <w:p w14:paraId="586B1B11">
            <w:pPr>
              <w:pStyle w:val="27"/>
              <w:spacing w:line="352" w:lineRule="auto"/>
            </w:pPr>
          </w:p>
          <w:p w14:paraId="042ED352">
            <w:pPr>
              <w:spacing w:before="59"/>
              <w:ind w:left="234"/>
              <w:rPr>
                <w:rFonts w:ascii="宋体" w:hAnsi="宋体" w:eastAsia="宋体" w:cs="宋体"/>
                <w:sz w:val="18"/>
                <w:szCs w:val="18"/>
              </w:rPr>
            </w:pPr>
            <w:r>
              <w:rPr>
                <w:rFonts w:ascii="宋体" w:hAnsi="宋体" w:eastAsia="宋体" w:cs="宋体"/>
                <w:sz w:val="18"/>
                <w:szCs w:val="18"/>
              </w:rPr>
              <w:t>3</w:t>
            </w:r>
          </w:p>
        </w:tc>
        <w:tc>
          <w:tcPr>
            <w:tcW w:w="1493" w:type="dxa"/>
            <w:vAlign w:val="top"/>
          </w:tcPr>
          <w:p w14:paraId="2C40D61F">
            <w:pPr>
              <w:pStyle w:val="27"/>
              <w:spacing w:line="352" w:lineRule="auto"/>
            </w:pPr>
          </w:p>
          <w:p w14:paraId="484B9F2C">
            <w:pPr>
              <w:spacing w:before="59"/>
              <w:ind w:left="196"/>
              <w:rPr>
                <w:rFonts w:ascii="宋体" w:hAnsi="宋体" w:eastAsia="宋体" w:cs="宋体"/>
                <w:sz w:val="18"/>
                <w:szCs w:val="18"/>
              </w:rPr>
            </w:pPr>
            <w:r>
              <w:rPr>
                <w:rFonts w:ascii="宋体" w:hAnsi="宋体" w:eastAsia="宋体" w:cs="宋体"/>
                <w:sz w:val="18"/>
                <w:szCs w:val="18"/>
              </w:rPr>
              <w:t>040205006001</w:t>
            </w:r>
          </w:p>
        </w:tc>
        <w:tc>
          <w:tcPr>
            <w:tcW w:w="1619" w:type="dxa"/>
            <w:vAlign w:val="top"/>
          </w:tcPr>
          <w:p w14:paraId="4D0EC4F1">
            <w:pPr>
              <w:pStyle w:val="27"/>
              <w:spacing w:line="353" w:lineRule="auto"/>
            </w:pPr>
          </w:p>
          <w:p w14:paraId="64CFB4C5">
            <w:pPr>
              <w:spacing w:before="58" w:line="220" w:lineRule="auto"/>
              <w:ind w:left="29"/>
              <w:rPr>
                <w:rFonts w:ascii="宋体" w:hAnsi="宋体" w:eastAsia="宋体" w:cs="宋体"/>
                <w:sz w:val="18"/>
                <w:szCs w:val="18"/>
              </w:rPr>
            </w:pPr>
            <w:r>
              <w:rPr>
                <w:rFonts w:ascii="宋体" w:hAnsi="宋体" w:eastAsia="宋体" w:cs="宋体"/>
                <w:spacing w:val="-4"/>
                <w:sz w:val="18"/>
                <w:szCs w:val="18"/>
              </w:rPr>
              <w:t>标线</w:t>
            </w:r>
          </w:p>
        </w:tc>
        <w:tc>
          <w:tcPr>
            <w:tcW w:w="1871" w:type="dxa"/>
            <w:vAlign w:val="top"/>
          </w:tcPr>
          <w:p w14:paraId="3BCA3F4B">
            <w:pPr>
              <w:spacing w:before="74" w:line="232" w:lineRule="auto"/>
              <w:ind w:left="37" w:right="27" w:firstLine="11"/>
              <w:rPr>
                <w:rFonts w:ascii="宋体" w:hAnsi="宋体" w:eastAsia="宋体" w:cs="宋体"/>
                <w:sz w:val="18"/>
                <w:szCs w:val="18"/>
              </w:rPr>
            </w:pPr>
            <w:r>
              <w:rPr>
                <w:rFonts w:ascii="宋体" w:hAnsi="宋体" w:eastAsia="宋体" w:cs="宋体"/>
                <w:spacing w:val="-2"/>
                <w:sz w:val="18"/>
                <w:szCs w:val="18"/>
              </w:rPr>
              <w:t>1、材料品种:热熔标线</w:t>
            </w:r>
            <w:r>
              <w:rPr>
                <w:rFonts w:ascii="宋体" w:hAnsi="宋体" w:eastAsia="宋体" w:cs="宋体"/>
                <w:spacing w:val="-5"/>
                <w:sz w:val="18"/>
                <w:szCs w:val="18"/>
              </w:rPr>
              <w:t>涂料</w:t>
            </w:r>
          </w:p>
          <w:p w14:paraId="59C44977">
            <w:pPr>
              <w:spacing w:line="220" w:lineRule="auto"/>
              <w:ind w:left="37"/>
              <w:rPr>
                <w:rFonts w:ascii="宋体" w:hAnsi="宋体" w:eastAsia="宋体" w:cs="宋体"/>
                <w:sz w:val="18"/>
                <w:szCs w:val="18"/>
              </w:rPr>
            </w:pPr>
            <w:r>
              <w:rPr>
                <w:rFonts w:ascii="宋体" w:hAnsi="宋体" w:eastAsia="宋体" w:cs="宋体"/>
                <w:spacing w:val="-2"/>
                <w:sz w:val="18"/>
                <w:szCs w:val="18"/>
              </w:rPr>
              <w:t>2、工艺:热熔漆</w:t>
            </w:r>
          </w:p>
          <w:p w14:paraId="40A137EE">
            <w:pPr>
              <w:spacing w:before="10" w:line="220" w:lineRule="auto"/>
              <w:ind w:left="38"/>
              <w:rPr>
                <w:rFonts w:ascii="宋体" w:hAnsi="宋体" w:eastAsia="宋体" w:cs="宋体"/>
                <w:sz w:val="18"/>
                <w:szCs w:val="18"/>
              </w:rPr>
            </w:pPr>
            <w:r>
              <w:rPr>
                <w:rFonts w:ascii="宋体" w:hAnsi="宋体" w:eastAsia="宋体" w:cs="宋体"/>
                <w:spacing w:val="-2"/>
                <w:sz w:val="18"/>
                <w:szCs w:val="18"/>
              </w:rPr>
              <w:t>3、线型:实线</w:t>
            </w:r>
          </w:p>
        </w:tc>
        <w:tc>
          <w:tcPr>
            <w:tcW w:w="643" w:type="dxa"/>
            <w:vAlign w:val="top"/>
          </w:tcPr>
          <w:p w14:paraId="4A295E37">
            <w:pPr>
              <w:pStyle w:val="27"/>
              <w:spacing w:line="353" w:lineRule="auto"/>
            </w:pPr>
          </w:p>
          <w:p w14:paraId="10283F11">
            <w:pPr>
              <w:spacing w:before="58" w:line="241" w:lineRule="auto"/>
              <w:ind w:left="281"/>
              <w:rPr>
                <w:rFonts w:ascii="宋体" w:hAnsi="宋体" w:eastAsia="宋体" w:cs="宋体"/>
                <w:sz w:val="18"/>
                <w:szCs w:val="18"/>
              </w:rPr>
            </w:pPr>
            <w:r>
              <w:rPr>
                <w:rFonts w:ascii="宋体" w:hAnsi="宋体" w:eastAsia="宋体" w:cs="宋体"/>
                <w:sz w:val="18"/>
                <w:szCs w:val="18"/>
              </w:rPr>
              <w:t>m</w:t>
            </w:r>
          </w:p>
        </w:tc>
        <w:tc>
          <w:tcPr>
            <w:tcW w:w="959" w:type="dxa"/>
            <w:vAlign w:val="top"/>
          </w:tcPr>
          <w:p w14:paraId="0D8C49B8">
            <w:pPr>
              <w:pStyle w:val="27"/>
              <w:spacing w:line="352" w:lineRule="auto"/>
            </w:pPr>
          </w:p>
          <w:p w14:paraId="16325E85">
            <w:pPr>
              <w:spacing w:before="59"/>
              <w:ind w:right="8"/>
              <w:jc w:val="right"/>
              <w:rPr>
                <w:rFonts w:ascii="宋体" w:hAnsi="宋体" w:eastAsia="宋体" w:cs="宋体"/>
                <w:sz w:val="18"/>
                <w:szCs w:val="18"/>
              </w:rPr>
            </w:pPr>
            <w:r>
              <w:rPr>
                <w:rFonts w:ascii="宋体" w:hAnsi="宋体" w:eastAsia="宋体" w:cs="宋体"/>
                <w:spacing w:val="-2"/>
                <w:sz w:val="18"/>
                <w:szCs w:val="18"/>
              </w:rPr>
              <w:t>900</w:t>
            </w:r>
          </w:p>
        </w:tc>
        <w:tc>
          <w:tcPr>
            <w:tcW w:w="959" w:type="dxa"/>
            <w:vAlign w:val="top"/>
          </w:tcPr>
          <w:p w14:paraId="431A755D">
            <w:pPr>
              <w:pStyle w:val="27"/>
            </w:pPr>
          </w:p>
        </w:tc>
        <w:tc>
          <w:tcPr>
            <w:tcW w:w="1179" w:type="dxa"/>
            <w:vAlign w:val="top"/>
          </w:tcPr>
          <w:p w14:paraId="5A3FD4EA">
            <w:pPr>
              <w:pStyle w:val="27"/>
            </w:pPr>
          </w:p>
        </w:tc>
        <w:tc>
          <w:tcPr>
            <w:tcW w:w="1079" w:type="dxa"/>
            <w:tcBorders>
              <w:right w:val="single" w:color="000000" w:sz="14" w:space="0"/>
            </w:tcBorders>
            <w:vAlign w:val="top"/>
          </w:tcPr>
          <w:p w14:paraId="1FD773CA">
            <w:pPr>
              <w:pStyle w:val="27"/>
            </w:pPr>
          </w:p>
        </w:tc>
      </w:tr>
      <w:tr w14:paraId="1910F0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7DD4DBC7">
            <w:pPr>
              <w:pStyle w:val="27"/>
            </w:pPr>
          </w:p>
        </w:tc>
        <w:tc>
          <w:tcPr>
            <w:tcW w:w="1493" w:type="dxa"/>
            <w:vAlign w:val="top"/>
          </w:tcPr>
          <w:p w14:paraId="18F458F9">
            <w:pPr>
              <w:pStyle w:val="27"/>
            </w:pPr>
          </w:p>
        </w:tc>
        <w:tc>
          <w:tcPr>
            <w:tcW w:w="3490" w:type="dxa"/>
            <w:gridSpan w:val="2"/>
            <w:vAlign w:val="top"/>
          </w:tcPr>
          <w:p w14:paraId="51FEEFC7">
            <w:pPr>
              <w:spacing w:before="87" w:line="219" w:lineRule="auto"/>
              <w:ind w:left="850"/>
              <w:rPr>
                <w:rFonts w:ascii="宋体" w:hAnsi="宋体" w:eastAsia="宋体" w:cs="宋体"/>
                <w:sz w:val="18"/>
                <w:szCs w:val="18"/>
              </w:rPr>
            </w:pPr>
            <w:r>
              <w:rPr>
                <w:rFonts w:ascii="宋体" w:hAnsi="宋体" w:eastAsia="宋体" w:cs="宋体"/>
                <w:spacing w:val="-1"/>
                <w:sz w:val="18"/>
                <w:szCs w:val="18"/>
              </w:rPr>
              <w:t>分部分项工程清单合计</w:t>
            </w:r>
          </w:p>
        </w:tc>
        <w:tc>
          <w:tcPr>
            <w:tcW w:w="643" w:type="dxa"/>
            <w:vAlign w:val="top"/>
          </w:tcPr>
          <w:p w14:paraId="280AE9FA">
            <w:pPr>
              <w:pStyle w:val="27"/>
            </w:pPr>
          </w:p>
        </w:tc>
        <w:tc>
          <w:tcPr>
            <w:tcW w:w="959" w:type="dxa"/>
            <w:vAlign w:val="top"/>
          </w:tcPr>
          <w:p w14:paraId="4696A528">
            <w:pPr>
              <w:pStyle w:val="27"/>
            </w:pPr>
          </w:p>
        </w:tc>
        <w:tc>
          <w:tcPr>
            <w:tcW w:w="959" w:type="dxa"/>
            <w:vAlign w:val="top"/>
          </w:tcPr>
          <w:p w14:paraId="6B9DE684">
            <w:pPr>
              <w:pStyle w:val="27"/>
            </w:pPr>
          </w:p>
        </w:tc>
        <w:tc>
          <w:tcPr>
            <w:tcW w:w="1179" w:type="dxa"/>
            <w:vAlign w:val="top"/>
          </w:tcPr>
          <w:p w14:paraId="13A548A9">
            <w:pPr>
              <w:pStyle w:val="27"/>
            </w:pPr>
          </w:p>
        </w:tc>
        <w:tc>
          <w:tcPr>
            <w:tcW w:w="1079" w:type="dxa"/>
            <w:tcBorders>
              <w:right w:val="single" w:color="000000" w:sz="14" w:space="0"/>
            </w:tcBorders>
            <w:vAlign w:val="top"/>
          </w:tcPr>
          <w:p w14:paraId="4AD8D2C8">
            <w:pPr>
              <w:pStyle w:val="27"/>
            </w:pPr>
          </w:p>
        </w:tc>
      </w:tr>
      <w:tr w14:paraId="3080EC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05C6FBC9">
            <w:pPr>
              <w:pStyle w:val="27"/>
            </w:pPr>
          </w:p>
        </w:tc>
        <w:tc>
          <w:tcPr>
            <w:tcW w:w="1493" w:type="dxa"/>
            <w:vAlign w:val="top"/>
          </w:tcPr>
          <w:p w14:paraId="16A4EFDA">
            <w:pPr>
              <w:pStyle w:val="27"/>
            </w:pPr>
          </w:p>
        </w:tc>
        <w:tc>
          <w:tcPr>
            <w:tcW w:w="3490" w:type="dxa"/>
            <w:gridSpan w:val="2"/>
            <w:vAlign w:val="top"/>
          </w:tcPr>
          <w:p w14:paraId="31C8090F">
            <w:pPr>
              <w:spacing w:before="87" w:line="218" w:lineRule="auto"/>
              <w:ind w:left="849"/>
              <w:rPr>
                <w:rFonts w:ascii="宋体" w:hAnsi="宋体" w:eastAsia="宋体" w:cs="宋体"/>
                <w:sz w:val="18"/>
                <w:szCs w:val="18"/>
              </w:rPr>
            </w:pPr>
            <w:r>
              <w:rPr>
                <w:rFonts w:ascii="宋体" w:hAnsi="宋体" w:eastAsia="宋体" w:cs="宋体"/>
                <w:spacing w:val="-1"/>
                <w:sz w:val="18"/>
                <w:szCs w:val="18"/>
              </w:rPr>
              <w:t>单价措施项目清单合计</w:t>
            </w:r>
          </w:p>
        </w:tc>
        <w:tc>
          <w:tcPr>
            <w:tcW w:w="643" w:type="dxa"/>
            <w:vAlign w:val="top"/>
          </w:tcPr>
          <w:p w14:paraId="55CCE518">
            <w:pPr>
              <w:pStyle w:val="27"/>
            </w:pPr>
          </w:p>
        </w:tc>
        <w:tc>
          <w:tcPr>
            <w:tcW w:w="959" w:type="dxa"/>
            <w:vAlign w:val="top"/>
          </w:tcPr>
          <w:p w14:paraId="0F47638C">
            <w:pPr>
              <w:pStyle w:val="27"/>
            </w:pPr>
          </w:p>
        </w:tc>
        <w:tc>
          <w:tcPr>
            <w:tcW w:w="959" w:type="dxa"/>
            <w:vAlign w:val="top"/>
          </w:tcPr>
          <w:p w14:paraId="02A2D229">
            <w:pPr>
              <w:pStyle w:val="27"/>
            </w:pPr>
          </w:p>
        </w:tc>
        <w:tc>
          <w:tcPr>
            <w:tcW w:w="1179" w:type="dxa"/>
            <w:vAlign w:val="top"/>
          </w:tcPr>
          <w:p w14:paraId="260BCD30">
            <w:pPr>
              <w:pStyle w:val="27"/>
            </w:pPr>
          </w:p>
        </w:tc>
        <w:tc>
          <w:tcPr>
            <w:tcW w:w="1079" w:type="dxa"/>
            <w:tcBorders>
              <w:right w:val="single" w:color="000000" w:sz="14" w:space="0"/>
            </w:tcBorders>
            <w:vAlign w:val="top"/>
          </w:tcPr>
          <w:p w14:paraId="48D5C7FE">
            <w:pPr>
              <w:pStyle w:val="27"/>
            </w:pPr>
          </w:p>
        </w:tc>
      </w:tr>
      <w:tr w14:paraId="1367FC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562" w:type="dxa"/>
            <w:tcBorders>
              <w:left w:val="single" w:color="000000" w:sz="14" w:space="0"/>
            </w:tcBorders>
            <w:vAlign w:val="top"/>
          </w:tcPr>
          <w:p w14:paraId="555C9423">
            <w:pPr>
              <w:pStyle w:val="27"/>
            </w:pPr>
          </w:p>
        </w:tc>
        <w:tc>
          <w:tcPr>
            <w:tcW w:w="1493" w:type="dxa"/>
            <w:vAlign w:val="top"/>
          </w:tcPr>
          <w:p w14:paraId="616D5EFF">
            <w:pPr>
              <w:pStyle w:val="27"/>
            </w:pPr>
          </w:p>
        </w:tc>
        <w:tc>
          <w:tcPr>
            <w:tcW w:w="1619" w:type="dxa"/>
            <w:vAlign w:val="top"/>
          </w:tcPr>
          <w:p w14:paraId="2FED2B87">
            <w:pPr>
              <w:pStyle w:val="27"/>
            </w:pPr>
          </w:p>
        </w:tc>
        <w:tc>
          <w:tcPr>
            <w:tcW w:w="1871" w:type="dxa"/>
            <w:vAlign w:val="top"/>
          </w:tcPr>
          <w:p w14:paraId="067E4F5B">
            <w:pPr>
              <w:pStyle w:val="27"/>
            </w:pPr>
          </w:p>
        </w:tc>
        <w:tc>
          <w:tcPr>
            <w:tcW w:w="643" w:type="dxa"/>
            <w:vAlign w:val="top"/>
          </w:tcPr>
          <w:p w14:paraId="1049060B">
            <w:pPr>
              <w:pStyle w:val="27"/>
            </w:pPr>
          </w:p>
        </w:tc>
        <w:tc>
          <w:tcPr>
            <w:tcW w:w="959" w:type="dxa"/>
            <w:vAlign w:val="top"/>
          </w:tcPr>
          <w:p w14:paraId="1138A074">
            <w:pPr>
              <w:pStyle w:val="27"/>
            </w:pPr>
          </w:p>
        </w:tc>
        <w:tc>
          <w:tcPr>
            <w:tcW w:w="959" w:type="dxa"/>
            <w:vAlign w:val="top"/>
          </w:tcPr>
          <w:p w14:paraId="5C39439D">
            <w:pPr>
              <w:pStyle w:val="27"/>
            </w:pPr>
          </w:p>
        </w:tc>
        <w:tc>
          <w:tcPr>
            <w:tcW w:w="1179" w:type="dxa"/>
            <w:vAlign w:val="top"/>
          </w:tcPr>
          <w:p w14:paraId="68627875">
            <w:pPr>
              <w:pStyle w:val="27"/>
            </w:pPr>
          </w:p>
        </w:tc>
        <w:tc>
          <w:tcPr>
            <w:tcW w:w="1079" w:type="dxa"/>
            <w:tcBorders>
              <w:right w:val="single" w:color="000000" w:sz="14" w:space="0"/>
            </w:tcBorders>
            <w:vAlign w:val="top"/>
          </w:tcPr>
          <w:p w14:paraId="6A62C724">
            <w:pPr>
              <w:pStyle w:val="27"/>
            </w:pPr>
          </w:p>
        </w:tc>
      </w:tr>
      <w:tr w14:paraId="3D0AC0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668C2985">
            <w:pPr>
              <w:pStyle w:val="27"/>
            </w:pPr>
          </w:p>
        </w:tc>
        <w:tc>
          <w:tcPr>
            <w:tcW w:w="1493" w:type="dxa"/>
            <w:vAlign w:val="top"/>
          </w:tcPr>
          <w:p w14:paraId="5871C554">
            <w:pPr>
              <w:pStyle w:val="27"/>
            </w:pPr>
          </w:p>
        </w:tc>
        <w:tc>
          <w:tcPr>
            <w:tcW w:w="1619" w:type="dxa"/>
            <w:vAlign w:val="top"/>
          </w:tcPr>
          <w:p w14:paraId="65281C46">
            <w:pPr>
              <w:pStyle w:val="27"/>
            </w:pPr>
          </w:p>
        </w:tc>
        <w:tc>
          <w:tcPr>
            <w:tcW w:w="1871" w:type="dxa"/>
            <w:vAlign w:val="top"/>
          </w:tcPr>
          <w:p w14:paraId="175A4FEC">
            <w:pPr>
              <w:pStyle w:val="27"/>
            </w:pPr>
          </w:p>
        </w:tc>
        <w:tc>
          <w:tcPr>
            <w:tcW w:w="643" w:type="dxa"/>
            <w:vAlign w:val="top"/>
          </w:tcPr>
          <w:p w14:paraId="6D5ADF7E">
            <w:pPr>
              <w:pStyle w:val="27"/>
            </w:pPr>
          </w:p>
        </w:tc>
        <w:tc>
          <w:tcPr>
            <w:tcW w:w="959" w:type="dxa"/>
            <w:vAlign w:val="top"/>
          </w:tcPr>
          <w:p w14:paraId="4A7702F9">
            <w:pPr>
              <w:pStyle w:val="27"/>
            </w:pPr>
          </w:p>
        </w:tc>
        <w:tc>
          <w:tcPr>
            <w:tcW w:w="959" w:type="dxa"/>
            <w:vAlign w:val="top"/>
          </w:tcPr>
          <w:p w14:paraId="4E81DFA6">
            <w:pPr>
              <w:pStyle w:val="27"/>
            </w:pPr>
          </w:p>
        </w:tc>
        <w:tc>
          <w:tcPr>
            <w:tcW w:w="1179" w:type="dxa"/>
            <w:vAlign w:val="top"/>
          </w:tcPr>
          <w:p w14:paraId="4D694927">
            <w:pPr>
              <w:pStyle w:val="27"/>
            </w:pPr>
          </w:p>
        </w:tc>
        <w:tc>
          <w:tcPr>
            <w:tcW w:w="1079" w:type="dxa"/>
            <w:tcBorders>
              <w:right w:val="single" w:color="000000" w:sz="14" w:space="0"/>
            </w:tcBorders>
            <w:vAlign w:val="top"/>
          </w:tcPr>
          <w:p w14:paraId="09048A7D">
            <w:pPr>
              <w:pStyle w:val="27"/>
            </w:pPr>
          </w:p>
        </w:tc>
      </w:tr>
      <w:tr w14:paraId="244AFF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562" w:type="dxa"/>
            <w:tcBorders>
              <w:left w:val="single" w:color="000000" w:sz="14" w:space="0"/>
            </w:tcBorders>
            <w:vAlign w:val="top"/>
          </w:tcPr>
          <w:p w14:paraId="261F4485">
            <w:pPr>
              <w:pStyle w:val="27"/>
            </w:pPr>
          </w:p>
        </w:tc>
        <w:tc>
          <w:tcPr>
            <w:tcW w:w="1493" w:type="dxa"/>
            <w:vAlign w:val="top"/>
          </w:tcPr>
          <w:p w14:paraId="746EE6D6">
            <w:pPr>
              <w:pStyle w:val="27"/>
            </w:pPr>
          </w:p>
        </w:tc>
        <w:tc>
          <w:tcPr>
            <w:tcW w:w="1619" w:type="dxa"/>
            <w:vAlign w:val="top"/>
          </w:tcPr>
          <w:p w14:paraId="5B6AFE00">
            <w:pPr>
              <w:pStyle w:val="27"/>
            </w:pPr>
          </w:p>
        </w:tc>
        <w:tc>
          <w:tcPr>
            <w:tcW w:w="1871" w:type="dxa"/>
            <w:vAlign w:val="top"/>
          </w:tcPr>
          <w:p w14:paraId="78FEDC40">
            <w:pPr>
              <w:pStyle w:val="27"/>
            </w:pPr>
          </w:p>
        </w:tc>
        <w:tc>
          <w:tcPr>
            <w:tcW w:w="643" w:type="dxa"/>
            <w:vAlign w:val="top"/>
          </w:tcPr>
          <w:p w14:paraId="0F74196A">
            <w:pPr>
              <w:pStyle w:val="27"/>
            </w:pPr>
          </w:p>
        </w:tc>
        <w:tc>
          <w:tcPr>
            <w:tcW w:w="959" w:type="dxa"/>
            <w:vAlign w:val="top"/>
          </w:tcPr>
          <w:p w14:paraId="3DB1F0F9">
            <w:pPr>
              <w:pStyle w:val="27"/>
            </w:pPr>
          </w:p>
        </w:tc>
        <w:tc>
          <w:tcPr>
            <w:tcW w:w="959" w:type="dxa"/>
            <w:vAlign w:val="top"/>
          </w:tcPr>
          <w:p w14:paraId="7FC942F8">
            <w:pPr>
              <w:pStyle w:val="27"/>
            </w:pPr>
          </w:p>
        </w:tc>
        <w:tc>
          <w:tcPr>
            <w:tcW w:w="1179" w:type="dxa"/>
            <w:vAlign w:val="top"/>
          </w:tcPr>
          <w:p w14:paraId="20C2170E">
            <w:pPr>
              <w:pStyle w:val="27"/>
            </w:pPr>
          </w:p>
        </w:tc>
        <w:tc>
          <w:tcPr>
            <w:tcW w:w="1079" w:type="dxa"/>
            <w:tcBorders>
              <w:right w:val="single" w:color="000000" w:sz="14" w:space="0"/>
            </w:tcBorders>
            <w:vAlign w:val="top"/>
          </w:tcPr>
          <w:p w14:paraId="40C61821">
            <w:pPr>
              <w:pStyle w:val="27"/>
            </w:pPr>
          </w:p>
        </w:tc>
      </w:tr>
      <w:tr w14:paraId="49F4D5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4DA3951B">
            <w:pPr>
              <w:pStyle w:val="27"/>
            </w:pPr>
          </w:p>
        </w:tc>
        <w:tc>
          <w:tcPr>
            <w:tcW w:w="1493" w:type="dxa"/>
            <w:vAlign w:val="top"/>
          </w:tcPr>
          <w:p w14:paraId="55E125D9">
            <w:pPr>
              <w:pStyle w:val="27"/>
            </w:pPr>
          </w:p>
        </w:tc>
        <w:tc>
          <w:tcPr>
            <w:tcW w:w="1619" w:type="dxa"/>
            <w:vAlign w:val="top"/>
          </w:tcPr>
          <w:p w14:paraId="47CDF5E0">
            <w:pPr>
              <w:pStyle w:val="27"/>
            </w:pPr>
          </w:p>
        </w:tc>
        <w:tc>
          <w:tcPr>
            <w:tcW w:w="1871" w:type="dxa"/>
            <w:vAlign w:val="top"/>
          </w:tcPr>
          <w:p w14:paraId="3A3DD1CC">
            <w:pPr>
              <w:pStyle w:val="27"/>
            </w:pPr>
          </w:p>
        </w:tc>
        <w:tc>
          <w:tcPr>
            <w:tcW w:w="643" w:type="dxa"/>
            <w:vAlign w:val="top"/>
          </w:tcPr>
          <w:p w14:paraId="7AEFC4A4">
            <w:pPr>
              <w:pStyle w:val="27"/>
            </w:pPr>
          </w:p>
        </w:tc>
        <w:tc>
          <w:tcPr>
            <w:tcW w:w="959" w:type="dxa"/>
            <w:vAlign w:val="top"/>
          </w:tcPr>
          <w:p w14:paraId="2E69C414">
            <w:pPr>
              <w:pStyle w:val="27"/>
            </w:pPr>
          </w:p>
        </w:tc>
        <w:tc>
          <w:tcPr>
            <w:tcW w:w="959" w:type="dxa"/>
            <w:vAlign w:val="top"/>
          </w:tcPr>
          <w:p w14:paraId="19D4F4F6">
            <w:pPr>
              <w:pStyle w:val="27"/>
            </w:pPr>
          </w:p>
        </w:tc>
        <w:tc>
          <w:tcPr>
            <w:tcW w:w="1179" w:type="dxa"/>
            <w:vAlign w:val="top"/>
          </w:tcPr>
          <w:p w14:paraId="59EB5CAA">
            <w:pPr>
              <w:pStyle w:val="27"/>
            </w:pPr>
          </w:p>
        </w:tc>
        <w:tc>
          <w:tcPr>
            <w:tcW w:w="1079" w:type="dxa"/>
            <w:tcBorders>
              <w:right w:val="single" w:color="000000" w:sz="14" w:space="0"/>
            </w:tcBorders>
            <w:vAlign w:val="top"/>
          </w:tcPr>
          <w:p w14:paraId="641A7E47">
            <w:pPr>
              <w:pStyle w:val="27"/>
            </w:pPr>
          </w:p>
        </w:tc>
      </w:tr>
      <w:tr w14:paraId="2246A4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152670A7">
            <w:pPr>
              <w:pStyle w:val="27"/>
            </w:pPr>
          </w:p>
        </w:tc>
        <w:tc>
          <w:tcPr>
            <w:tcW w:w="1493" w:type="dxa"/>
            <w:vAlign w:val="top"/>
          </w:tcPr>
          <w:p w14:paraId="313B9D0D">
            <w:pPr>
              <w:pStyle w:val="27"/>
            </w:pPr>
          </w:p>
        </w:tc>
        <w:tc>
          <w:tcPr>
            <w:tcW w:w="1619" w:type="dxa"/>
            <w:vAlign w:val="top"/>
          </w:tcPr>
          <w:p w14:paraId="6A3C27C7">
            <w:pPr>
              <w:pStyle w:val="27"/>
            </w:pPr>
          </w:p>
        </w:tc>
        <w:tc>
          <w:tcPr>
            <w:tcW w:w="1871" w:type="dxa"/>
            <w:vAlign w:val="top"/>
          </w:tcPr>
          <w:p w14:paraId="2D0339A7">
            <w:pPr>
              <w:pStyle w:val="27"/>
            </w:pPr>
          </w:p>
        </w:tc>
        <w:tc>
          <w:tcPr>
            <w:tcW w:w="643" w:type="dxa"/>
            <w:vAlign w:val="top"/>
          </w:tcPr>
          <w:p w14:paraId="6AD3C91C">
            <w:pPr>
              <w:pStyle w:val="27"/>
            </w:pPr>
          </w:p>
        </w:tc>
        <w:tc>
          <w:tcPr>
            <w:tcW w:w="959" w:type="dxa"/>
            <w:vAlign w:val="top"/>
          </w:tcPr>
          <w:p w14:paraId="70DC552E">
            <w:pPr>
              <w:pStyle w:val="27"/>
            </w:pPr>
          </w:p>
        </w:tc>
        <w:tc>
          <w:tcPr>
            <w:tcW w:w="959" w:type="dxa"/>
            <w:vAlign w:val="top"/>
          </w:tcPr>
          <w:p w14:paraId="5E75FD36">
            <w:pPr>
              <w:pStyle w:val="27"/>
            </w:pPr>
          </w:p>
        </w:tc>
        <w:tc>
          <w:tcPr>
            <w:tcW w:w="1179" w:type="dxa"/>
            <w:vAlign w:val="top"/>
          </w:tcPr>
          <w:p w14:paraId="42A37FC7">
            <w:pPr>
              <w:pStyle w:val="27"/>
            </w:pPr>
          </w:p>
        </w:tc>
        <w:tc>
          <w:tcPr>
            <w:tcW w:w="1079" w:type="dxa"/>
            <w:tcBorders>
              <w:right w:val="single" w:color="000000" w:sz="14" w:space="0"/>
            </w:tcBorders>
            <w:vAlign w:val="top"/>
          </w:tcPr>
          <w:p w14:paraId="6018E0B4">
            <w:pPr>
              <w:pStyle w:val="27"/>
            </w:pPr>
          </w:p>
        </w:tc>
      </w:tr>
      <w:tr w14:paraId="7CFD4D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562" w:type="dxa"/>
            <w:tcBorders>
              <w:left w:val="single" w:color="000000" w:sz="14" w:space="0"/>
            </w:tcBorders>
            <w:vAlign w:val="top"/>
          </w:tcPr>
          <w:p w14:paraId="3322050D">
            <w:pPr>
              <w:pStyle w:val="27"/>
            </w:pPr>
          </w:p>
        </w:tc>
        <w:tc>
          <w:tcPr>
            <w:tcW w:w="1493" w:type="dxa"/>
            <w:vAlign w:val="top"/>
          </w:tcPr>
          <w:p w14:paraId="0B26E190">
            <w:pPr>
              <w:pStyle w:val="27"/>
            </w:pPr>
          </w:p>
        </w:tc>
        <w:tc>
          <w:tcPr>
            <w:tcW w:w="1619" w:type="dxa"/>
            <w:vAlign w:val="top"/>
          </w:tcPr>
          <w:p w14:paraId="5E09BEF8">
            <w:pPr>
              <w:pStyle w:val="27"/>
            </w:pPr>
          </w:p>
        </w:tc>
        <w:tc>
          <w:tcPr>
            <w:tcW w:w="1871" w:type="dxa"/>
            <w:vAlign w:val="top"/>
          </w:tcPr>
          <w:p w14:paraId="2BFDA4FC">
            <w:pPr>
              <w:pStyle w:val="27"/>
            </w:pPr>
          </w:p>
        </w:tc>
        <w:tc>
          <w:tcPr>
            <w:tcW w:w="643" w:type="dxa"/>
            <w:vAlign w:val="top"/>
          </w:tcPr>
          <w:p w14:paraId="274BC276">
            <w:pPr>
              <w:pStyle w:val="27"/>
            </w:pPr>
          </w:p>
        </w:tc>
        <w:tc>
          <w:tcPr>
            <w:tcW w:w="959" w:type="dxa"/>
            <w:vAlign w:val="top"/>
          </w:tcPr>
          <w:p w14:paraId="7265CEF8">
            <w:pPr>
              <w:pStyle w:val="27"/>
            </w:pPr>
          </w:p>
        </w:tc>
        <w:tc>
          <w:tcPr>
            <w:tcW w:w="959" w:type="dxa"/>
            <w:vAlign w:val="top"/>
          </w:tcPr>
          <w:p w14:paraId="2B3ACB0D">
            <w:pPr>
              <w:pStyle w:val="27"/>
            </w:pPr>
          </w:p>
        </w:tc>
        <w:tc>
          <w:tcPr>
            <w:tcW w:w="1179" w:type="dxa"/>
            <w:vAlign w:val="top"/>
          </w:tcPr>
          <w:p w14:paraId="74A5108E">
            <w:pPr>
              <w:pStyle w:val="27"/>
            </w:pPr>
          </w:p>
        </w:tc>
        <w:tc>
          <w:tcPr>
            <w:tcW w:w="1079" w:type="dxa"/>
            <w:tcBorders>
              <w:right w:val="single" w:color="000000" w:sz="14" w:space="0"/>
            </w:tcBorders>
            <w:vAlign w:val="top"/>
          </w:tcPr>
          <w:p w14:paraId="1F3F0B69">
            <w:pPr>
              <w:pStyle w:val="27"/>
            </w:pPr>
          </w:p>
        </w:tc>
      </w:tr>
      <w:tr w14:paraId="1C3051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6E2A7F9A">
            <w:pPr>
              <w:pStyle w:val="27"/>
            </w:pPr>
          </w:p>
        </w:tc>
        <w:tc>
          <w:tcPr>
            <w:tcW w:w="1493" w:type="dxa"/>
            <w:vAlign w:val="top"/>
          </w:tcPr>
          <w:p w14:paraId="305B0181">
            <w:pPr>
              <w:pStyle w:val="27"/>
            </w:pPr>
          </w:p>
        </w:tc>
        <w:tc>
          <w:tcPr>
            <w:tcW w:w="1619" w:type="dxa"/>
            <w:vAlign w:val="top"/>
          </w:tcPr>
          <w:p w14:paraId="25B41757">
            <w:pPr>
              <w:pStyle w:val="27"/>
            </w:pPr>
          </w:p>
        </w:tc>
        <w:tc>
          <w:tcPr>
            <w:tcW w:w="1871" w:type="dxa"/>
            <w:vAlign w:val="top"/>
          </w:tcPr>
          <w:p w14:paraId="777BA2DB">
            <w:pPr>
              <w:pStyle w:val="27"/>
            </w:pPr>
          </w:p>
        </w:tc>
        <w:tc>
          <w:tcPr>
            <w:tcW w:w="643" w:type="dxa"/>
            <w:vAlign w:val="top"/>
          </w:tcPr>
          <w:p w14:paraId="50B4D546">
            <w:pPr>
              <w:pStyle w:val="27"/>
            </w:pPr>
          </w:p>
        </w:tc>
        <w:tc>
          <w:tcPr>
            <w:tcW w:w="959" w:type="dxa"/>
            <w:vAlign w:val="top"/>
          </w:tcPr>
          <w:p w14:paraId="0332AAAA">
            <w:pPr>
              <w:pStyle w:val="27"/>
            </w:pPr>
          </w:p>
        </w:tc>
        <w:tc>
          <w:tcPr>
            <w:tcW w:w="959" w:type="dxa"/>
            <w:vAlign w:val="top"/>
          </w:tcPr>
          <w:p w14:paraId="7F906406">
            <w:pPr>
              <w:pStyle w:val="27"/>
            </w:pPr>
          </w:p>
        </w:tc>
        <w:tc>
          <w:tcPr>
            <w:tcW w:w="1179" w:type="dxa"/>
            <w:vAlign w:val="top"/>
          </w:tcPr>
          <w:p w14:paraId="5E936294">
            <w:pPr>
              <w:pStyle w:val="27"/>
            </w:pPr>
          </w:p>
        </w:tc>
        <w:tc>
          <w:tcPr>
            <w:tcW w:w="1079" w:type="dxa"/>
            <w:tcBorders>
              <w:right w:val="single" w:color="000000" w:sz="14" w:space="0"/>
            </w:tcBorders>
            <w:vAlign w:val="top"/>
          </w:tcPr>
          <w:p w14:paraId="0F2762DF">
            <w:pPr>
              <w:pStyle w:val="27"/>
            </w:pPr>
          </w:p>
        </w:tc>
      </w:tr>
      <w:tr w14:paraId="2093E8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3E0ED8E4">
            <w:pPr>
              <w:pStyle w:val="27"/>
            </w:pPr>
          </w:p>
        </w:tc>
        <w:tc>
          <w:tcPr>
            <w:tcW w:w="1493" w:type="dxa"/>
            <w:vAlign w:val="top"/>
          </w:tcPr>
          <w:p w14:paraId="1A1CD252">
            <w:pPr>
              <w:pStyle w:val="27"/>
            </w:pPr>
          </w:p>
        </w:tc>
        <w:tc>
          <w:tcPr>
            <w:tcW w:w="1619" w:type="dxa"/>
            <w:vAlign w:val="top"/>
          </w:tcPr>
          <w:p w14:paraId="1069EB21">
            <w:pPr>
              <w:pStyle w:val="27"/>
            </w:pPr>
          </w:p>
        </w:tc>
        <w:tc>
          <w:tcPr>
            <w:tcW w:w="1871" w:type="dxa"/>
            <w:vAlign w:val="top"/>
          </w:tcPr>
          <w:p w14:paraId="7C112893">
            <w:pPr>
              <w:pStyle w:val="27"/>
            </w:pPr>
          </w:p>
        </w:tc>
        <w:tc>
          <w:tcPr>
            <w:tcW w:w="643" w:type="dxa"/>
            <w:vAlign w:val="top"/>
          </w:tcPr>
          <w:p w14:paraId="7F4AC79A">
            <w:pPr>
              <w:pStyle w:val="27"/>
            </w:pPr>
          </w:p>
        </w:tc>
        <w:tc>
          <w:tcPr>
            <w:tcW w:w="959" w:type="dxa"/>
            <w:vAlign w:val="top"/>
          </w:tcPr>
          <w:p w14:paraId="41CE4E39">
            <w:pPr>
              <w:pStyle w:val="27"/>
            </w:pPr>
          </w:p>
        </w:tc>
        <w:tc>
          <w:tcPr>
            <w:tcW w:w="959" w:type="dxa"/>
            <w:vAlign w:val="top"/>
          </w:tcPr>
          <w:p w14:paraId="33F3E7F6">
            <w:pPr>
              <w:pStyle w:val="27"/>
            </w:pPr>
          </w:p>
        </w:tc>
        <w:tc>
          <w:tcPr>
            <w:tcW w:w="1179" w:type="dxa"/>
            <w:vAlign w:val="top"/>
          </w:tcPr>
          <w:p w14:paraId="14AB66E4">
            <w:pPr>
              <w:pStyle w:val="27"/>
            </w:pPr>
          </w:p>
        </w:tc>
        <w:tc>
          <w:tcPr>
            <w:tcW w:w="1079" w:type="dxa"/>
            <w:tcBorders>
              <w:right w:val="single" w:color="000000" w:sz="14" w:space="0"/>
            </w:tcBorders>
            <w:vAlign w:val="top"/>
          </w:tcPr>
          <w:p w14:paraId="4E0A27D3">
            <w:pPr>
              <w:pStyle w:val="27"/>
            </w:pPr>
          </w:p>
        </w:tc>
      </w:tr>
      <w:tr w14:paraId="428F62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562" w:type="dxa"/>
            <w:tcBorders>
              <w:left w:val="single" w:color="000000" w:sz="14" w:space="0"/>
            </w:tcBorders>
            <w:vAlign w:val="top"/>
          </w:tcPr>
          <w:p w14:paraId="4A15801C">
            <w:pPr>
              <w:pStyle w:val="27"/>
            </w:pPr>
          </w:p>
        </w:tc>
        <w:tc>
          <w:tcPr>
            <w:tcW w:w="1493" w:type="dxa"/>
            <w:vAlign w:val="top"/>
          </w:tcPr>
          <w:p w14:paraId="1A481ABC">
            <w:pPr>
              <w:pStyle w:val="27"/>
            </w:pPr>
          </w:p>
        </w:tc>
        <w:tc>
          <w:tcPr>
            <w:tcW w:w="1619" w:type="dxa"/>
            <w:vAlign w:val="top"/>
          </w:tcPr>
          <w:p w14:paraId="699362E9">
            <w:pPr>
              <w:pStyle w:val="27"/>
            </w:pPr>
          </w:p>
        </w:tc>
        <w:tc>
          <w:tcPr>
            <w:tcW w:w="1871" w:type="dxa"/>
            <w:vAlign w:val="top"/>
          </w:tcPr>
          <w:p w14:paraId="013D28F0">
            <w:pPr>
              <w:pStyle w:val="27"/>
            </w:pPr>
          </w:p>
        </w:tc>
        <w:tc>
          <w:tcPr>
            <w:tcW w:w="643" w:type="dxa"/>
            <w:vAlign w:val="top"/>
          </w:tcPr>
          <w:p w14:paraId="6F1276E8">
            <w:pPr>
              <w:pStyle w:val="27"/>
            </w:pPr>
          </w:p>
        </w:tc>
        <w:tc>
          <w:tcPr>
            <w:tcW w:w="959" w:type="dxa"/>
            <w:vAlign w:val="top"/>
          </w:tcPr>
          <w:p w14:paraId="5E710349">
            <w:pPr>
              <w:pStyle w:val="27"/>
            </w:pPr>
          </w:p>
        </w:tc>
        <w:tc>
          <w:tcPr>
            <w:tcW w:w="959" w:type="dxa"/>
            <w:vAlign w:val="top"/>
          </w:tcPr>
          <w:p w14:paraId="4BAAFC14">
            <w:pPr>
              <w:pStyle w:val="27"/>
            </w:pPr>
          </w:p>
        </w:tc>
        <w:tc>
          <w:tcPr>
            <w:tcW w:w="1179" w:type="dxa"/>
            <w:vAlign w:val="top"/>
          </w:tcPr>
          <w:p w14:paraId="563D3B44">
            <w:pPr>
              <w:pStyle w:val="27"/>
            </w:pPr>
          </w:p>
        </w:tc>
        <w:tc>
          <w:tcPr>
            <w:tcW w:w="1079" w:type="dxa"/>
            <w:tcBorders>
              <w:right w:val="single" w:color="000000" w:sz="14" w:space="0"/>
            </w:tcBorders>
            <w:vAlign w:val="top"/>
          </w:tcPr>
          <w:p w14:paraId="4BC55E7D">
            <w:pPr>
              <w:pStyle w:val="27"/>
            </w:pPr>
          </w:p>
        </w:tc>
      </w:tr>
      <w:tr w14:paraId="3F5E2A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383A11FB">
            <w:pPr>
              <w:pStyle w:val="27"/>
            </w:pPr>
          </w:p>
        </w:tc>
        <w:tc>
          <w:tcPr>
            <w:tcW w:w="1493" w:type="dxa"/>
            <w:vAlign w:val="top"/>
          </w:tcPr>
          <w:p w14:paraId="0B8D1CE4">
            <w:pPr>
              <w:pStyle w:val="27"/>
            </w:pPr>
          </w:p>
        </w:tc>
        <w:tc>
          <w:tcPr>
            <w:tcW w:w="1619" w:type="dxa"/>
            <w:vAlign w:val="top"/>
          </w:tcPr>
          <w:p w14:paraId="07117463">
            <w:pPr>
              <w:pStyle w:val="27"/>
            </w:pPr>
          </w:p>
        </w:tc>
        <w:tc>
          <w:tcPr>
            <w:tcW w:w="1871" w:type="dxa"/>
            <w:vAlign w:val="top"/>
          </w:tcPr>
          <w:p w14:paraId="324CDA4E">
            <w:pPr>
              <w:pStyle w:val="27"/>
            </w:pPr>
          </w:p>
        </w:tc>
        <w:tc>
          <w:tcPr>
            <w:tcW w:w="643" w:type="dxa"/>
            <w:vAlign w:val="top"/>
          </w:tcPr>
          <w:p w14:paraId="76434220">
            <w:pPr>
              <w:pStyle w:val="27"/>
            </w:pPr>
          </w:p>
        </w:tc>
        <w:tc>
          <w:tcPr>
            <w:tcW w:w="959" w:type="dxa"/>
            <w:vAlign w:val="top"/>
          </w:tcPr>
          <w:p w14:paraId="36858E90">
            <w:pPr>
              <w:pStyle w:val="27"/>
            </w:pPr>
          </w:p>
        </w:tc>
        <w:tc>
          <w:tcPr>
            <w:tcW w:w="959" w:type="dxa"/>
            <w:vAlign w:val="top"/>
          </w:tcPr>
          <w:p w14:paraId="20BCE7A2">
            <w:pPr>
              <w:pStyle w:val="27"/>
            </w:pPr>
          </w:p>
        </w:tc>
        <w:tc>
          <w:tcPr>
            <w:tcW w:w="1179" w:type="dxa"/>
            <w:vAlign w:val="top"/>
          </w:tcPr>
          <w:p w14:paraId="1DCFBBDF">
            <w:pPr>
              <w:pStyle w:val="27"/>
            </w:pPr>
          </w:p>
        </w:tc>
        <w:tc>
          <w:tcPr>
            <w:tcW w:w="1079" w:type="dxa"/>
            <w:tcBorders>
              <w:right w:val="single" w:color="000000" w:sz="14" w:space="0"/>
            </w:tcBorders>
            <w:vAlign w:val="top"/>
          </w:tcPr>
          <w:p w14:paraId="788A77ED">
            <w:pPr>
              <w:pStyle w:val="27"/>
            </w:pPr>
          </w:p>
        </w:tc>
      </w:tr>
      <w:tr w14:paraId="18F54A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562" w:type="dxa"/>
            <w:tcBorders>
              <w:left w:val="single" w:color="000000" w:sz="14" w:space="0"/>
            </w:tcBorders>
            <w:vAlign w:val="top"/>
          </w:tcPr>
          <w:p w14:paraId="2DC83BFD">
            <w:pPr>
              <w:pStyle w:val="27"/>
            </w:pPr>
          </w:p>
        </w:tc>
        <w:tc>
          <w:tcPr>
            <w:tcW w:w="1493" w:type="dxa"/>
            <w:vAlign w:val="top"/>
          </w:tcPr>
          <w:p w14:paraId="61C67036">
            <w:pPr>
              <w:pStyle w:val="27"/>
            </w:pPr>
          </w:p>
        </w:tc>
        <w:tc>
          <w:tcPr>
            <w:tcW w:w="1619" w:type="dxa"/>
            <w:vAlign w:val="top"/>
          </w:tcPr>
          <w:p w14:paraId="3016B411">
            <w:pPr>
              <w:pStyle w:val="27"/>
            </w:pPr>
          </w:p>
        </w:tc>
        <w:tc>
          <w:tcPr>
            <w:tcW w:w="1871" w:type="dxa"/>
            <w:vAlign w:val="top"/>
          </w:tcPr>
          <w:p w14:paraId="77510A52">
            <w:pPr>
              <w:pStyle w:val="27"/>
            </w:pPr>
          </w:p>
        </w:tc>
        <w:tc>
          <w:tcPr>
            <w:tcW w:w="643" w:type="dxa"/>
            <w:vAlign w:val="top"/>
          </w:tcPr>
          <w:p w14:paraId="060FACFF">
            <w:pPr>
              <w:pStyle w:val="27"/>
            </w:pPr>
          </w:p>
        </w:tc>
        <w:tc>
          <w:tcPr>
            <w:tcW w:w="959" w:type="dxa"/>
            <w:vAlign w:val="top"/>
          </w:tcPr>
          <w:p w14:paraId="3F02E76E">
            <w:pPr>
              <w:pStyle w:val="27"/>
            </w:pPr>
          </w:p>
        </w:tc>
        <w:tc>
          <w:tcPr>
            <w:tcW w:w="959" w:type="dxa"/>
            <w:vAlign w:val="top"/>
          </w:tcPr>
          <w:p w14:paraId="56E3A68B">
            <w:pPr>
              <w:pStyle w:val="27"/>
            </w:pPr>
          </w:p>
        </w:tc>
        <w:tc>
          <w:tcPr>
            <w:tcW w:w="1179" w:type="dxa"/>
            <w:vAlign w:val="top"/>
          </w:tcPr>
          <w:p w14:paraId="3AE4E7CA">
            <w:pPr>
              <w:pStyle w:val="27"/>
            </w:pPr>
          </w:p>
        </w:tc>
        <w:tc>
          <w:tcPr>
            <w:tcW w:w="1079" w:type="dxa"/>
            <w:tcBorders>
              <w:right w:val="single" w:color="000000" w:sz="14" w:space="0"/>
            </w:tcBorders>
            <w:vAlign w:val="top"/>
          </w:tcPr>
          <w:p w14:paraId="10407F24">
            <w:pPr>
              <w:pStyle w:val="27"/>
            </w:pPr>
          </w:p>
        </w:tc>
      </w:tr>
      <w:tr w14:paraId="34CED7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3E358FE3">
            <w:pPr>
              <w:pStyle w:val="27"/>
            </w:pPr>
          </w:p>
        </w:tc>
        <w:tc>
          <w:tcPr>
            <w:tcW w:w="1493" w:type="dxa"/>
            <w:vAlign w:val="top"/>
          </w:tcPr>
          <w:p w14:paraId="5E8EB998">
            <w:pPr>
              <w:pStyle w:val="27"/>
            </w:pPr>
          </w:p>
        </w:tc>
        <w:tc>
          <w:tcPr>
            <w:tcW w:w="1619" w:type="dxa"/>
            <w:vAlign w:val="top"/>
          </w:tcPr>
          <w:p w14:paraId="76CE0C45">
            <w:pPr>
              <w:pStyle w:val="27"/>
            </w:pPr>
          </w:p>
        </w:tc>
        <w:tc>
          <w:tcPr>
            <w:tcW w:w="1871" w:type="dxa"/>
            <w:vAlign w:val="top"/>
          </w:tcPr>
          <w:p w14:paraId="227C6C33">
            <w:pPr>
              <w:pStyle w:val="27"/>
            </w:pPr>
          </w:p>
        </w:tc>
        <w:tc>
          <w:tcPr>
            <w:tcW w:w="643" w:type="dxa"/>
            <w:vAlign w:val="top"/>
          </w:tcPr>
          <w:p w14:paraId="026E3704">
            <w:pPr>
              <w:pStyle w:val="27"/>
            </w:pPr>
          </w:p>
        </w:tc>
        <w:tc>
          <w:tcPr>
            <w:tcW w:w="959" w:type="dxa"/>
            <w:vAlign w:val="top"/>
          </w:tcPr>
          <w:p w14:paraId="4F1D90AA">
            <w:pPr>
              <w:pStyle w:val="27"/>
            </w:pPr>
          </w:p>
        </w:tc>
        <w:tc>
          <w:tcPr>
            <w:tcW w:w="959" w:type="dxa"/>
            <w:vAlign w:val="top"/>
          </w:tcPr>
          <w:p w14:paraId="03AD7158">
            <w:pPr>
              <w:pStyle w:val="27"/>
            </w:pPr>
          </w:p>
        </w:tc>
        <w:tc>
          <w:tcPr>
            <w:tcW w:w="1179" w:type="dxa"/>
            <w:vAlign w:val="top"/>
          </w:tcPr>
          <w:p w14:paraId="628F9ED4">
            <w:pPr>
              <w:pStyle w:val="27"/>
            </w:pPr>
          </w:p>
        </w:tc>
        <w:tc>
          <w:tcPr>
            <w:tcW w:w="1079" w:type="dxa"/>
            <w:tcBorders>
              <w:right w:val="single" w:color="000000" w:sz="14" w:space="0"/>
            </w:tcBorders>
            <w:vAlign w:val="top"/>
          </w:tcPr>
          <w:p w14:paraId="1051E40E">
            <w:pPr>
              <w:pStyle w:val="27"/>
            </w:pPr>
          </w:p>
        </w:tc>
      </w:tr>
      <w:tr w14:paraId="01CC37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35FA2E2D">
            <w:pPr>
              <w:pStyle w:val="27"/>
            </w:pPr>
          </w:p>
        </w:tc>
        <w:tc>
          <w:tcPr>
            <w:tcW w:w="1493" w:type="dxa"/>
            <w:vAlign w:val="top"/>
          </w:tcPr>
          <w:p w14:paraId="4221EE08">
            <w:pPr>
              <w:pStyle w:val="27"/>
            </w:pPr>
          </w:p>
        </w:tc>
        <w:tc>
          <w:tcPr>
            <w:tcW w:w="1619" w:type="dxa"/>
            <w:vAlign w:val="top"/>
          </w:tcPr>
          <w:p w14:paraId="0B6F60A1">
            <w:pPr>
              <w:pStyle w:val="27"/>
            </w:pPr>
          </w:p>
        </w:tc>
        <w:tc>
          <w:tcPr>
            <w:tcW w:w="1871" w:type="dxa"/>
            <w:vAlign w:val="top"/>
          </w:tcPr>
          <w:p w14:paraId="7126E34F">
            <w:pPr>
              <w:pStyle w:val="27"/>
            </w:pPr>
          </w:p>
        </w:tc>
        <w:tc>
          <w:tcPr>
            <w:tcW w:w="643" w:type="dxa"/>
            <w:vAlign w:val="top"/>
          </w:tcPr>
          <w:p w14:paraId="2E1DF2D5">
            <w:pPr>
              <w:pStyle w:val="27"/>
            </w:pPr>
          </w:p>
        </w:tc>
        <w:tc>
          <w:tcPr>
            <w:tcW w:w="959" w:type="dxa"/>
            <w:vAlign w:val="top"/>
          </w:tcPr>
          <w:p w14:paraId="7B6FA444">
            <w:pPr>
              <w:pStyle w:val="27"/>
            </w:pPr>
          </w:p>
        </w:tc>
        <w:tc>
          <w:tcPr>
            <w:tcW w:w="959" w:type="dxa"/>
            <w:vAlign w:val="top"/>
          </w:tcPr>
          <w:p w14:paraId="1DA516BA">
            <w:pPr>
              <w:pStyle w:val="27"/>
            </w:pPr>
          </w:p>
        </w:tc>
        <w:tc>
          <w:tcPr>
            <w:tcW w:w="1179" w:type="dxa"/>
            <w:vAlign w:val="top"/>
          </w:tcPr>
          <w:p w14:paraId="299C8302">
            <w:pPr>
              <w:pStyle w:val="27"/>
            </w:pPr>
          </w:p>
        </w:tc>
        <w:tc>
          <w:tcPr>
            <w:tcW w:w="1079" w:type="dxa"/>
            <w:tcBorders>
              <w:right w:val="single" w:color="000000" w:sz="14" w:space="0"/>
            </w:tcBorders>
            <w:vAlign w:val="top"/>
          </w:tcPr>
          <w:p w14:paraId="5E6C74C5">
            <w:pPr>
              <w:pStyle w:val="27"/>
            </w:pPr>
          </w:p>
        </w:tc>
      </w:tr>
      <w:tr w14:paraId="4DFC8B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562" w:type="dxa"/>
            <w:tcBorders>
              <w:left w:val="single" w:color="000000" w:sz="14" w:space="0"/>
            </w:tcBorders>
            <w:vAlign w:val="top"/>
          </w:tcPr>
          <w:p w14:paraId="491F01B2">
            <w:pPr>
              <w:pStyle w:val="27"/>
            </w:pPr>
          </w:p>
        </w:tc>
        <w:tc>
          <w:tcPr>
            <w:tcW w:w="1493" w:type="dxa"/>
            <w:vAlign w:val="top"/>
          </w:tcPr>
          <w:p w14:paraId="5D2FEB3C">
            <w:pPr>
              <w:pStyle w:val="27"/>
            </w:pPr>
          </w:p>
        </w:tc>
        <w:tc>
          <w:tcPr>
            <w:tcW w:w="1619" w:type="dxa"/>
            <w:vAlign w:val="top"/>
          </w:tcPr>
          <w:p w14:paraId="6EF401BC">
            <w:pPr>
              <w:pStyle w:val="27"/>
            </w:pPr>
          </w:p>
        </w:tc>
        <w:tc>
          <w:tcPr>
            <w:tcW w:w="1871" w:type="dxa"/>
            <w:vAlign w:val="top"/>
          </w:tcPr>
          <w:p w14:paraId="0E7D27C9">
            <w:pPr>
              <w:pStyle w:val="27"/>
            </w:pPr>
          </w:p>
        </w:tc>
        <w:tc>
          <w:tcPr>
            <w:tcW w:w="643" w:type="dxa"/>
            <w:vAlign w:val="top"/>
          </w:tcPr>
          <w:p w14:paraId="1A30788C">
            <w:pPr>
              <w:pStyle w:val="27"/>
            </w:pPr>
          </w:p>
        </w:tc>
        <w:tc>
          <w:tcPr>
            <w:tcW w:w="959" w:type="dxa"/>
            <w:vAlign w:val="top"/>
          </w:tcPr>
          <w:p w14:paraId="1B060B02">
            <w:pPr>
              <w:pStyle w:val="27"/>
            </w:pPr>
          </w:p>
        </w:tc>
        <w:tc>
          <w:tcPr>
            <w:tcW w:w="959" w:type="dxa"/>
            <w:vAlign w:val="top"/>
          </w:tcPr>
          <w:p w14:paraId="42CE4B78">
            <w:pPr>
              <w:pStyle w:val="27"/>
            </w:pPr>
          </w:p>
        </w:tc>
        <w:tc>
          <w:tcPr>
            <w:tcW w:w="1179" w:type="dxa"/>
            <w:vAlign w:val="top"/>
          </w:tcPr>
          <w:p w14:paraId="2A9CAF89">
            <w:pPr>
              <w:pStyle w:val="27"/>
            </w:pPr>
          </w:p>
        </w:tc>
        <w:tc>
          <w:tcPr>
            <w:tcW w:w="1079" w:type="dxa"/>
            <w:tcBorders>
              <w:right w:val="single" w:color="000000" w:sz="14" w:space="0"/>
            </w:tcBorders>
            <w:vAlign w:val="top"/>
          </w:tcPr>
          <w:p w14:paraId="17F022D7">
            <w:pPr>
              <w:pStyle w:val="27"/>
            </w:pPr>
          </w:p>
        </w:tc>
      </w:tr>
      <w:tr w14:paraId="467221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05D2521A">
            <w:pPr>
              <w:pStyle w:val="27"/>
            </w:pPr>
          </w:p>
        </w:tc>
        <w:tc>
          <w:tcPr>
            <w:tcW w:w="1493" w:type="dxa"/>
            <w:vAlign w:val="top"/>
          </w:tcPr>
          <w:p w14:paraId="4E0B9E91">
            <w:pPr>
              <w:pStyle w:val="27"/>
            </w:pPr>
          </w:p>
        </w:tc>
        <w:tc>
          <w:tcPr>
            <w:tcW w:w="1619" w:type="dxa"/>
            <w:vAlign w:val="top"/>
          </w:tcPr>
          <w:p w14:paraId="2BA82E17">
            <w:pPr>
              <w:pStyle w:val="27"/>
            </w:pPr>
          </w:p>
        </w:tc>
        <w:tc>
          <w:tcPr>
            <w:tcW w:w="1871" w:type="dxa"/>
            <w:vAlign w:val="top"/>
          </w:tcPr>
          <w:p w14:paraId="0F190F76">
            <w:pPr>
              <w:pStyle w:val="27"/>
            </w:pPr>
          </w:p>
        </w:tc>
        <w:tc>
          <w:tcPr>
            <w:tcW w:w="643" w:type="dxa"/>
            <w:vAlign w:val="top"/>
          </w:tcPr>
          <w:p w14:paraId="2B5B6340">
            <w:pPr>
              <w:pStyle w:val="27"/>
            </w:pPr>
          </w:p>
        </w:tc>
        <w:tc>
          <w:tcPr>
            <w:tcW w:w="959" w:type="dxa"/>
            <w:vAlign w:val="top"/>
          </w:tcPr>
          <w:p w14:paraId="463FDAB0">
            <w:pPr>
              <w:pStyle w:val="27"/>
            </w:pPr>
          </w:p>
        </w:tc>
        <w:tc>
          <w:tcPr>
            <w:tcW w:w="959" w:type="dxa"/>
            <w:vAlign w:val="top"/>
          </w:tcPr>
          <w:p w14:paraId="5A6FE045">
            <w:pPr>
              <w:pStyle w:val="27"/>
            </w:pPr>
          </w:p>
        </w:tc>
        <w:tc>
          <w:tcPr>
            <w:tcW w:w="1179" w:type="dxa"/>
            <w:vAlign w:val="top"/>
          </w:tcPr>
          <w:p w14:paraId="25867A6E">
            <w:pPr>
              <w:pStyle w:val="27"/>
            </w:pPr>
          </w:p>
        </w:tc>
        <w:tc>
          <w:tcPr>
            <w:tcW w:w="1079" w:type="dxa"/>
            <w:tcBorders>
              <w:right w:val="single" w:color="000000" w:sz="14" w:space="0"/>
            </w:tcBorders>
            <w:vAlign w:val="top"/>
          </w:tcPr>
          <w:p w14:paraId="4F948BFE">
            <w:pPr>
              <w:pStyle w:val="27"/>
            </w:pPr>
          </w:p>
        </w:tc>
      </w:tr>
      <w:tr w14:paraId="25E51B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562" w:type="dxa"/>
            <w:tcBorders>
              <w:left w:val="single" w:color="000000" w:sz="14" w:space="0"/>
            </w:tcBorders>
            <w:vAlign w:val="top"/>
          </w:tcPr>
          <w:p w14:paraId="393CBC4F">
            <w:pPr>
              <w:pStyle w:val="27"/>
            </w:pPr>
          </w:p>
        </w:tc>
        <w:tc>
          <w:tcPr>
            <w:tcW w:w="1493" w:type="dxa"/>
            <w:vAlign w:val="top"/>
          </w:tcPr>
          <w:p w14:paraId="5D8D8F2E">
            <w:pPr>
              <w:pStyle w:val="27"/>
            </w:pPr>
          </w:p>
        </w:tc>
        <w:tc>
          <w:tcPr>
            <w:tcW w:w="1619" w:type="dxa"/>
            <w:vAlign w:val="top"/>
          </w:tcPr>
          <w:p w14:paraId="5A2EC848">
            <w:pPr>
              <w:pStyle w:val="27"/>
            </w:pPr>
          </w:p>
        </w:tc>
        <w:tc>
          <w:tcPr>
            <w:tcW w:w="1871" w:type="dxa"/>
            <w:vAlign w:val="top"/>
          </w:tcPr>
          <w:p w14:paraId="22DFBFBF">
            <w:pPr>
              <w:pStyle w:val="27"/>
            </w:pPr>
          </w:p>
        </w:tc>
        <w:tc>
          <w:tcPr>
            <w:tcW w:w="643" w:type="dxa"/>
            <w:vAlign w:val="top"/>
          </w:tcPr>
          <w:p w14:paraId="071B3C40">
            <w:pPr>
              <w:pStyle w:val="27"/>
            </w:pPr>
          </w:p>
        </w:tc>
        <w:tc>
          <w:tcPr>
            <w:tcW w:w="959" w:type="dxa"/>
            <w:vAlign w:val="top"/>
          </w:tcPr>
          <w:p w14:paraId="5FF6D2BE">
            <w:pPr>
              <w:pStyle w:val="27"/>
            </w:pPr>
          </w:p>
        </w:tc>
        <w:tc>
          <w:tcPr>
            <w:tcW w:w="959" w:type="dxa"/>
            <w:vAlign w:val="top"/>
          </w:tcPr>
          <w:p w14:paraId="641A7F7E">
            <w:pPr>
              <w:pStyle w:val="27"/>
            </w:pPr>
          </w:p>
        </w:tc>
        <w:tc>
          <w:tcPr>
            <w:tcW w:w="1179" w:type="dxa"/>
            <w:vAlign w:val="top"/>
          </w:tcPr>
          <w:p w14:paraId="5C88A14E">
            <w:pPr>
              <w:pStyle w:val="27"/>
            </w:pPr>
          </w:p>
        </w:tc>
        <w:tc>
          <w:tcPr>
            <w:tcW w:w="1079" w:type="dxa"/>
            <w:tcBorders>
              <w:right w:val="single" w:color="000000" w:sz="14" w:space="0"/>
            </w:tcBorders>
            <w:vAlign w:val="top"/>
          </w:tcPr>
          <w:p w14:paraId="5A6B6AE7">
            <w:pPr>
              <w:pStyle w:val="27"/>
            </w:pPr>
          </w:p>
        </w:tc>
      </w:tr>
      <w:tr w14:paraId="6A5006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24AB1DD8">
            <w:pPr>
              <w:pStyle w:val="27"/>
            </w:pPr>
          </w:p>
        </w:tc>
        <w:tc>
          <w:tcPr>
            <w:tcW w:w="1493" w:type="dxa"/>
            <w:vAlign w:val="top"/>
          </w:tcPr>
          <w:p w14:paraId="5B70810F">
            <w:pPr>
              <w:pStyle w:val="27"/>
            </w:pPr>
          </w:p>
        </w:tc>
        <w:tc>
          <w:tcPr>
            <w:tcW w:w="1619" w:type="dxa"/>
            <w:vAlign w:val="top"/>
          </w:tcPr>
          <w:p w14:paraId="452C0ADB">
            <w:pPr>
              <w:pStyle w:val="27"/>
            </w:pPr>
          </w:p>
        </w:tc>
        <w:tc>
          <w:tcPr>
            <w:tcW w:w="1871" w:type="dxa"/>
            <w:vAlign w:val="top"/>
          </w:tcPr>
          <w:p w14:paraId="40FD0482">
            <w:pPr>
              <w:pStyle w:val="27"/>
            </w:pPr>
          </w:p>
        </w:tc>
        <w:tc>
          <w:tcPr>
            <w:tcW w:w="643" w:type="dxa"/>
            <w:vAlign w:val="top"/>
          </w:tcPr>
          <w:p w14:paraId="3591F43A">
            <w:pPr>
              <w:pStyle w:val="27"/>
            </w:pPr>
          </w:p>
        </w:tc>
        <w:tc>
          <w:tcPr>
            <w:tcW w:w="959" w:type="dxa"/>
            <w:vAlign w:val="top"/>
          </w:tcPr>
          <w:p w14:paraId="113AC52D">
            <w:pPr>
              <w:pStyle w:val="27"/>
            </w:pPr>
          </w:p>
        </w:tc>
        <w:tc>
          <w:tcPr>
            <w:tcW w:w="959" w:type="dxa"/>
            <w:vAlign w:val="top"/>
          </w:tcPr>
          <w:p w14:paraId="3EC7E262">
            <w:pPr>
              <w:pStyle w:val="27"/>
            </w:pPr>
          </w:p>
        </w:tc>
        <w:tc>
          <w:tcPr>
            <w:tcW w:w="1179" w:type="dxa"/>
            <w:vAlign w:val="top"/>
          </w:tcPr>
          <w:p w14:paraId="07A276C4">
            <w:pPr>
              <w:pStyle w:val="27"/>
            </w:pPr>
          </w:p>
        </w:tc>
        <w:tc>
          <w:tcPr>
            <w:tcW w:w="1079" w:type="dxa"/>
            <w:tcBorders>
              <w:right w:val="single" w:color="000000" w:sz="14" w:space="0"/>
            </w:tcBorders>
            <w:vAlign w:val="top"/>
          </w:tcPr>
          <w:p w14:paraId="53F63560">
            <w:pPr>
              <w:pStyle w:val="27"/>
            </w:pPr>
          </w:p>
        </w:tc>
      </w:tr>
      <w:tr w14:paraId="42169E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562" w:type="dxa"/>
            <w:tcBorders>
              <w:left w:val="single" w:color="000000" w:sz="14" w:space="0"/>
            </w:tcBorders>
            <w:vAlign w:val="top"/>
          </w:tcPr>
          <w:p w14:paraId="2F7365B2">
            <w:pPr>
              <w:pStyle w:val="27"/>
            </w:pPr>
          </w:p>
        </w:tc>
        <w:tc>
          <w:tcPr>
            <w:tcW w:w="1493" w:type="dxa"/>
            <w:vAlign w:val="top"/>
          </w:tcPr>
          <w:p w14:paraId="074E7DFC">
            <w:pPr>
              <w:pStyle w:val="27"/>
            </w:pPr>
          </w:p>
        </w:tc>
        <w:tc>
          <w:tcPr>
            <w:tcW w:w="1619" w:type="dxa"/>
            <w:vAlign w:val="top"/>
          </w:tcPr>
          <w:p w14:paraId="3EFD05A4">
            <w:pPr>
              <w:pStyle w:val="27"/>
            </w:pPr>
          </w:p>
        </w:tc>
        <w:tc>
          <w:tcPr>
            <w:tcW w:w="1871" w:type="dxa"/>
            <w:vAlign w:val="top"/>
          </w:tcPr>
          <w:p w14:paraId="74422F76">
            <w:pPr>
              <w:pStyle w:val="27"/>
            </w:pPr>
          </w:p>
        </w:tc>
        <w:tc>
          <w:tcPr>
            <w:tcW w:w="643" w:type="dxa"/>
            <w:vAlign w:val="top"/>
          </w:tcPr>
          <w:p w14:paraId="36306676">
            <w:pPr>
              <w:pStyle w:val="27"/>
            </w:pPr>
          </w:p>
        </w:tc>
        <w:tc>
          <w:tcPr>
            <w:tcW w:w="959" w:type="dxa"/>
            <w:vAlign w:val="top"/>
          </w:tcPr>
          <w:p w14:paraId="7560936F">
            <w:pPr>
              <w:pStyle w:val="27"/>
            </w:pPr>
          </w:p>
        </w:tc>
        <w:tc>
          <w:tcPr>
            <w:tcW w:w="959" w:type="dxa"/>
            <w:vAlign w:val="top"/>
          </w:tcPr>
          <w:p w14:paraId="03887D1C">
            <w:pPr>
              <w:pStyle w:val="27"/>
            </w:pPr>
          </w:p>
        </w:tc>
        <w:tc>
          <w:tcPr>
            <w:tcW w:w="1179" w:type="dxa"/>
            <w:vAlign w:val="top"/>
          </w:tcPr>
          <w:p w14:paraId="07E16678">
            <w:pPr>
              <w:pStyle w:val="27"/>
            </w:pPr>
          </w:p>
        </w:tc>
        <w:tc>
          <w:tcPr>
            <w:tcW w:w="1079" w:type="dxa"/>
            <w:tcBorders>
              <w:right w:val="single" w:color="000000" w:sz="14" w:space="0"/>
            </w:tcBorders>
            <w:vAlign w:val="top"/>
          </w:tcPr>
          <w:p w14:paraId="31703078">
            <w:pPr>
              <w:pStyle w:val="27"/>
            </w:pPr>
          </w:p>
        </w:tc>
      </w:tr>
      <w:tr w14:paraId="48D571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63D27EE4">
            <w:pPr>
              <w:pStyle w:val="27"/>
            </w:pPr>
          </w:p>
        </w:tc>
        <w:tc>
          <w:tcPr>
            <w:tcW w:w="1493" w:type="dxa"/>
            <w:vAlign w:val="top"/>
          </w:tcPr>
          <w:p w14:paraId="2F78C9C6">
            <w:pPr>
              <w:pStyle w:val="27"/>
            </w:pPr>
          </w:p>
        </w:tc>
        <w:tc>
          <w:tcPr>
            <w:tcW w:w="1619" w:type="dxa"/>
            <w:vAlign w:val="top"/>
          </w:tcPr>
          <w:p w14:paraId="55401808">
            <w:pPr>
              <w:pStyle w:val="27"/>
            </w:pPr>
          </w:p>
        </w:tc>
        <w:tc>
          <w:tcPr>
            <w:tcW w:w="1871" w:type="dxa"/>
            <w:vAlign w:val="top"/>
          </w:tcPr>
          <w:p w14:paraId="0FD97E14">
            <w:pPr>
              <w:pStyle w:val="27"/>
            </w:pPr>
          </w:p>
        </w:tc>
        <w:tc>
          <w:tcPr>
            <w:tcW w:w="643" w:type="dxa"/>
            <w:vAlign w:val="top"/>
          </w:tcPr>
          <w:p w14:paraId="460FE69F">
            <w:pPr>
              <w:pStyle w:val="27"/>
            </w:pPr>
          </w:p>
        </w:tc>
        <w:tc>
          <w:tcPr>
            <w:tcW w:w="959" w:type="dxa"/>
            <w:vAlign w:val="top"/>
          </w:tcPr>
          <w:p w14:paraId="65039BDE">
            <w:pPr>
              <w:pStyle w:val="27"/>
            </w:pPr>
          </w:p>
        </w:tc>
        <w:tc>
          <w:tcPr>
            <w:tcW w:w="959" w:type="dxa"/>
            <w:vAlign w:val="top"/>
          </w:tcPr>
          <w:p w14:paraId="12CEC438">
            <w:pPr>
              <w:pStyle w:val="27"/>
            </w:pPr>
          </w:p>
        </w:tc>
        <w:tc>
          <w:tcPr>
            <w:tcW w:w="1179" w:type="dxa"/>
            <w:vAlign w:val="top"/>
          </w:tcPr>
          <w:p w14:paraId="0B049A62">
            <w:pPr>
              <w:pStyle w:val="27"/>
            </w:pPr>
          </w:p>
        </w:tc>
        <w:tc>
          <w:tcPr>
            <w:tcW w:w="1079" w:type="dxa"/>
            <w:tcBorders>
              <w:right w:val="single" w:color="000000" w:sz="14" w:space="0"/>
            </w:tcBorders>
            <w:vAlign w:val="top"/>
          </w:tcPr>
          <w:p w14:paraId="57F5DD8B">
            <w:pPr>
              <w:pStyle w:val="27"/>
            </w:pPr>
          </w:p>
        </w:tc>
      </w:tr>
      <w:tr w14:paraId="6438C8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7260069E">
            <w:pPr>
              <w:pStyle w:val="27"/>
            </w:pPr>
          </w:p>
        </w:tc>
        <w:tc>
          <w:tcPr>
            <w:tcW w:w="1493" w:type="dxa"/>
            <w:vAlign w:val="top"/>
          </w:tcPr>
          <w:p w14:paraId="37A34DE9">
            <w:pPr>
              <w:pStyle w:val="27"/>
            </w:pPr>
          </w:p>
        </w:tc>
        <w:tc>
          <w:tcPr>
            <w:tcW w:w="1619" w:type="dxa"/>
            <w:vAlign w:val="top"/>
          </w:tcPr>
          <w:p w14:paraId="6E5C8A09">
            <w:pPr>
              <w:pStyle w:val="27"/>
            </w:pPr>
          </w:p>
        </w:tc>
        <w:tc>
          <w:tcPr>
            <w:tcW w:w="1871" w:type="dxa"/>
            <w:vAlign w:val="top"/>
          </w:tcPr>
          <w:p w14:paraId="72C17F48">
            <w:pPr>
              <w:pStyle w:val="27"/>
            </w:pPr>
          </w:p>
        </w:tc>
        <w:tc>
          <w:tcPr>
            <w:tcW w:w="643" w:type="dxa"/>
            <w:vAlign w:val="top"/>
          </w:tcPr>
          <w:p w14:paraId="4B86C86C">
            <w:pPr>
              <w:pStyle w:val="27"/>
            </w:pPr>
          </w:p>
        </w:tc>
        <w:tc>
          <w:tcPr>
            <w:tcW w:w="959" w:type="dxa"/>
            <w:vAlign w:val="top"/>
          </w:tcPr>
          <w:p w14:paraId="27E98EE0">
            <w:pPr>
              <w:pStyle w:val="27"/>
            </w:pPr>
          </w:p>
        </w:tc>
        <w:tc>
          <w:tcPr>
            <w:tcW w:w="959" w:type="dxa"/>
            <w:vAlign w:val="top"/>
          </w:tcPr>
          <w:p w14:paraId="68449121">
            <w:pPr>
              <w:pStyle w:val="27"/>
            </w:pPr>
          </w:p>
        </w:tc>
        <w:tc>
          <w:tcPr>
            <w:tcW w:w="1179" w:type="dxa"/>
            <w:vAlign w:val="top"/>
          </w:tcPr>
          <w:p w14:paraId="76BCA3B3">
            <w:pPr>
              <w:pStyle w:val="27"/>
            </w:pPr>
          </w:p>
        </w:tc>
        <w:tc>
          <w:tcPr>
            <w:tcW w:w="1079" w:type="dxa"/>
            <w:tcBorders>
              <w:right w:val="single" w:color="000000" w:sz="14" w:space="0"/>
            </w:tcBorders>
            <w:vAlign w:val="top"/>
          </w:tcPr>
          <w:p w14:paraId="201ABA3D">
            <w:pPr>
              <w:pStyle w:val="27"/>
            </w:pPr>
          </w:p>
        </w:tc>
      </w:tr>
      <w:tr w14:paraId="767253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562" w:type="dxa"/>
            <w:tcBorders>
              <w:left w:val="single" w:color="000000" w:sz="14" w:space="0"/>
            </w:tcBorders>
            <w:vAlign w:val="top"/>
          </w:tcPr>
          <w:p w14:paraId="04E549FC">
            <w:pPr>
              <w:pStyle w:val="27"/>
            </w:pPr>
          </w:p>
        </w:tc>
        <w:tc>
          <w:tcPr>
            <w:tcW w:w="1493" w:type="dxa"/>
            <w:vAlign w:val="top"/>
          </w:tcPr>
          <w:p w14:paraId="0941CA69">
            <w:pPr>
              <w:pStyle w:val="27"/>
            </w:pPr>
          </w:p>
        </w:tc>
        <w:tc>
          <w:tcPr>
            <w:tcW w:w="1619" w:type="dxa"/>
            <w:vAlign w:val="top"/>
          </w:tcPr>
          <w:p w14:paraId="60E4B20C">
            <w:pPr>
              <w:pStyle w:val="27"/>
            </w:pPr>
          </w:p>
        </w:tc>
        <w:tc>
          <w:tcPr>
            <w:tcW w:w="1871" w:type="dxa"/>
            <w:vAlign w:val="top"/>
          </w:tcPr>
          <w:p w14:paraId="2AA056AE">
            <w:pPr>
              <w:pStyle w:val="27"/>
            </w:pPr>
          </w:p>
        </w:tc>
        <w:tc>
          <w:tcPr>
            <w:tcW w:w="643" w:type="dxa"/>
            <w:vAlign w:val="top"/>
          </w:tcPr>
          <w:p w14:paraId="16D485EF">
            <w:pPr>
              <w:pStyle w:val="27"/>
            </w:pPr>
          </w:p>
        </w:tc>
        <w:tc>
          <w:tcPr>
            <w:tcW w:w="959" w:type="dxa"/>
            <w:vAlign w:val="top"/>
          </w:tcPr>
          <w:p w14:paraId="099643F3">
            <w:pPr>
              <w:pStyle w:val="27"/>
            </w:pPr>
          </w:p>
        </w:tc>
        <w:tc>
          <w:tcPr>
            <w:tcW w:w="959" w:type="dxa"/>
            <w:vAlign w:val="top"/>
          </w:tcPr>
          <w:p w14:paraId="6AEFFE89">
            <w:pPr>
              <w:pStyle w:val="27"/>
            </w:pPr>
          </w:p>
        </w:tc>
        <w:tc>
          <w:tcPr>
            <w:tcW w:w="1179" w:type="dxa"/>
            <w:vAlign w:val="top"/>
          </w:tcPr>
          <w:p w14:paraId="57A01A70">
            <w:pPr>
              <w:pStyle w:val="27"/>
            </w:pPr>
          </w:p>
        </w:tc>
        <w:tc>
          <w:tcPr>
            <w:tcW w:w="1079" w:type="dxa"/>
            <w:tcBorders>
              <w:right w:val="single" w:color="000000" w:sz="14" w:space="0"/>
            </w:tcBorders>
            <w:vAlign w:val="top"/>
          </w:tcPr>
          <w:p w14:paraId="47A69262">
            <w:pPr>
              <w:pStyle w:val="27"/>
            </w:pPr>
          </w:p>
        </w:tc>
      </w:tr>
      <w:tr w14:paraId="001B9A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56A23CF0">
            <w:pPr>
              <w:pStyle w:val="27"/>
            </w:pPr>
          </w:p>
        </w:tc>
        <w:tc>
          <w:tcPr>
            <w:tcW w:w="1493" w:type="dxa"/>
            <w:vAlign w:val="top"/>
          </w:tcPr>
          <w:p w14:paraId="4B8866DB">
            <w:pPr>
              <w:pStyle w:val="27"/>
            </w:pPr>
          </w:p>
        </w:tc>
        <w:tc>
          <w:tcPr>
            <w:tcW w:w="1619" w:type="dxa"/>
            <w:vAlign w:val="top"/>
          </w:tcPr>
          <w:p w14:paraId="6EB670FD">
            <w:pPr>
              <w:pStyle w:val="27"/>
            </w:pPr>
          </w:p>
        </w:tc>
        <w:tc>
          <w:tcPr>
            <w:tcW w:w="1871" w:type="dxa"/>
            <w:vAlign w:val="top"/>
          </w:tcPr>
          <w:p w14:paraId="221F074F">
            <w:pPr>
              <w:pStyle w:val="27"/>
            </w:pPr>
          </w:p>
        </w:tc>
        <w:tc>
          <w:tcPr>
            <w:tcW w:w="643" w:type="dxa"/>
            <w:vAlign w:val="top"/>
          </w:tcPr>
          <w:p w14:paraId="442280DF">
            <w:pPr>
              <w:pStyle w:val="27"/>
            </w:pPr>
          </w:p>
        </w:tc>
        <w:tc>
          <w:tcPr>
            <w:tcW w:w="959" w:type="dxa"/>
            <w:vAlign w:val="top"/>
          </w:tcPr>
          <w:p w14:paraId="4B992CC8">
            <w:pPr>
              <w:pStyle w:val="27"/>
            </w:pPr>
          </w:p>
        </w:tc>
        <w:tc>
          <w:tcPr>
            <w:tcW w:w="959" w:type="dxa"/>
            <w:vAlign w:val="top"/>
          </w:tcPr>
          <w:p w14:paraId="2C2FE2DA">
            <w:pPr>
              <w:pStyle w:val="27"/>
            </w:pPr>
          </w:p>
        </w:tc>
        <w:tc>
          <w:tcPr>
            <w:tcW w:w="1179" w:type="dxa"/>
            <w:vAlign w:val="top"/>
          </w:tcPr>
          <w:p w14:paraId="00FAEBB1">
            <w:pPr>
              <w:pStyle w:val="27"/>
            </w:pPr>
          </w:p>
        </w:tc>
        <w:tc>
          <w:tcPr>
            <w:tcW w:w="1079" w:type="dxa"/>
            <w:tcBorders>
              <w:right w:val="single" w:color="000000" w:sz="14" w:space="0"/>
            </w:tcBorders>
            <w:vAlign w:val="top"/>
          </w:tcPr>
          <w:p w14:paraId="2887C6D8">
            <w:pPr>
              <w:pStyle w:val="27"/>
            </w:pPr>
          </w:p>
        </w:tc>
      </w:tr>
      <w:tr w14:paraId="5EE01F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562" w:type="dxa"/>
            <w:tcBorders>
              <w:left w:val="single" w:color="000000" w:sz="14" w:space="0"/>
            </w:tcBorders>
            <w:vAlign w:val="top"/>
          </w:tcPr>
          <w:p w14:paraId="7DF0DED2">
            <w:pPr>
              <w:pStyle w:val="27"/>
            </w:pPr>
          </w:p>
        </w:tc>
        <w:tc>
          <w:tcPr>
            <w:tcW w:w="1493" w:type="dxa"/>
            <w:vAlign w:val="top"/>
          </w:tcPr>
          <w:p w14:paraId="38F4FC1A">
            <w:pPr>
              <w:pStyle w:val="27"/>
            </w:pPr>
          </w:p>
        </w:tc>
        <w:tc>
          <w:tcPr>
            <w:tcW w:w="1619" w:type="dxa"/>
            <w:vAlign w:val="top"/>
          </w:tcPr>
          <w:p w14:paraId="6B4B933D">
            <w:pPr>
              <w:pStyle w:val="27"/>
            </w:pPr>
          </w:p>
        </w:tc>
        <w:tc>
          <w:tcPr>
            <w:tcW w:w="1871" w:type="dxa"/>
            <w:vAlign w:val="top"/>
          </w:tcPr>
          <w:p w14:paraId="023D0982">
            <w:pPr>
              <w:pStyle w:val="27"/>
            </w:pPr>
          </w:p>
        </w:tc>
        <w:tc>
          <w:tcPr>
            <w:tcW w:w="643" w:type="dxa"/>
            <w:vAlign w:val="top"/>
          </w:tcPr>
          <w:p w14:paraId="65FE01CA">
            <w:pPr>
              <w:pStyle w:val="27"/>
            </w:pPr>
          </w:p>
        </w:tc>
        <w:tc>
          <w:tcPr>
            <w:tcW w:w="959" w:type="dxa"/>
            <w:vAlign w:val="top"/>
          </w:tcPr>
          <w:p w14:paraId="52DFFD7C">
            <w:pPr>
              <w:pStyle w:val="27"/>
            </w:pPr>
          </w:p>
        </w:tc>
        <w:tc>
          <w:tcPr>
            <w:tcW w:w="959" w:type="dxa"/>
            <w:vAlign w:val="top"/>
          </w:tcPr>
          <w:p w14:paraId="6E30ED99">
            <w:pPr>
              <w:pStyle w:val="27"/>
            </w:pPr>
          </w:p>
        </w:tc>
        <w:tc>
          <w:tcPr>
            <w:tcW w:w="1179" w:type="dxa"/>
            <w:vAlign w:val="top"/>
          </w:tcPr>
          <w:p w14:paraId="1FE8EDC8">
            <w:pPr>
              <w:pStyle w:val="27"/>
            </w:pPr>
          </w:p>
        </w:tc>
        <w:tc>
          <w:tcPr>
            <w:tcW w:w="1079" w:type="dxa"/>
            <w:tcBorders>
              <w:right w:val="single" w:color="000000" w:sz="14" w:space="0"/>
            </w:tcBorders>
            <w:vAlign w:val="top"/>
          </w:tcPr>
          <w:p w14:paraId="185A1924">
            <w:pPr>
              <w:pStyle w:val="27"/>
            </w:pPr>
          </w:p>
        </w:tc>
      </w:tr>
      <w:tr w14:paraId="099217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106" w:type="dxa"/>
            <w:gridSpan w:val="7"/>
            <w:tcBorders>
              <w:left w:val="single" w:color="000000" w:sz="14" w:space="0"/>
            </w:tcBorders>
            <w:vAlign w:val="top"/>
          </w:tcPr>
          <w:p w14:paraId="52A783D2">
            <w:pPr>
              <w:spacing w:before="110" w:line="210" w:lineRule="auto"/>
              <w:ind w:left="3701"/>
              <w:rPr>
                <w:rFonts w:ascii="宋体" w:hAnsi="宋体" w:eastAsia="宋体" w:cs="宋体"/>
                <w:sz w:val="18"/>
                <w:szCs w:val="18"/>
              </w:rPr>
            </w:pPr>
            <w:r>
              <w:rPr>
                <w:rFonts w:ascii="宋体" w:hAnsi="宋体" w:eastAsia="宋体" w:cs="宋体"/>
                <w:spacing w:val="-2"/>
                <w:sz w:val="18"/>
                <w:szCs w:val="18"/>
              </w:rPr>
              <w:t>本页小计</w:t>
            </w:r>
          </w:p>
        </w:tc>
        <w:tc>
          <w:tcPr>
            <w:tcW w:w="1179" w:type="dxa"/>
            <w:vAlign w:val="top"/>
          </w:tcPr>
          <w:p w14:paraId="01C8745B">
            <w:pPr>
              <w:pStyle w:val="27"/>
            </w:pPr>
          </w:p>
        </w:tc>
        <w:tc>
          <w:tcPr>
            <w:tcW w:w="1079" w:type="dxa"/>
            <w:tcBorders>
              <w:right w:val="single" w:color="000000" w:sz="14" w:space="0"/>
            </w:tcBorders>
            <w:vAlign w:val="top"/>
          </w:tcPr>
          <w:p w14:paraId="2C0FFEEF">
            <w:pPr>
              <w:pStyle w:val="27"/>
            </w:pPr>
          </w:p>
        </w:tc>
      </w:tr>
      <w:tr w14:paraId="49A15C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8106" w:type="dxa"/>
            <w:gridSpan w:val="7"/>
            <w:tcBorders>
              <w:left w:val="single" w:color="000000" w:sz="14" w:space="0"/>
              <w:bottom w:val="single" w:color="000000" w:sz="14" w:space="0"/>
            </w:tcBorders>
            <w:vAlign w:val="top"/>
          </w:tcPr>
          <w:p w14:paraId="558389BF">
            <w:pPr>
              <w:spacing w:before="160" w:line="221" w:lineRule="auto"/>
              <w:ind w:left="3699"/>
              <w:rPr>
                <w:rFonts w:ascii="宋体" w:hAnsi="宋体" w:eastAsia="宋体" w:cs="宋体"/>
                <w:sz w:val="18"/>
                <w:szCs w:val="18"/>
              </w:rPr>
            </w:pPr>
            <w:r>
              <w:rPr>
                <w:rFonts w:ascii="宋体" w:hAnsi="宋体" w:eastAsia="宋体" w:cs="宋体"/>
                <w:spacing w:val="-4"/>
                <w:sz w:val="18"/>
                <w:szCs w:val="18"/>
              </w:rPr>
              <w:t>合</w:t>
            </w:r>
            <w:r>
              <w:rPr>
                <w:rFonts w:ascii="宋体" w:hAnsi="宋体" w:eastAsia="宋体" w:cs="宋体"/>
                <w:spacing w:val="3"/>
                <w:sz w:val="18"/>
                <w:szCs w:val="18"/>
              </w:rPr>
              <w:t xml:space="preserve">    </w:t>
            </w:r>
            <w:r>
              <w:rPr>
                <w:rFonts w:ascii="宋体" w:hAnsi="宋体" w:eastAsia="宋体" w:cs="宋体"/>
                <w:spacing w:val="-4"/>
                <w:sz w:val="18"/>
                <w:szCs w:val="18"/>
              </w:rPr>
              <w:t>计</w:t>
            </w:r>
          </w:p>
        </w:tc>
        <w:tc>
          <w:tcPr>
            <w:tcW w:w="1179" w:type="dxa"/>
            <w:tcBorders>
              <w:bottom w:val="single" w:color="000000" w:sz="14" w:space="0"/>
            </w:tcBorders>
            <w:vAlign w:val="top"/>
          </w:tcPr>
          <w:p w14:paraId="7BE28D5E">
            <w:pPr>
              <w:pStyle w:val="27"/>
            </w:pPr>
          </w:p>
        </w:tc>
        <w:tc>
          <w:tcPr>
            <w:tcW w:w="1079" w:type="dxa"/>
            <w:tcBorders>
              <w:bottom w:val="single" w:color="000000" w:sz="14" w:space="0"/>
              <w:right w:val="single" w:color="000000" w:sz="14" w:space="0"/>
            </w:tcBorders>
            <w:vAlign w:val="top"/>
          </w:tcPr>
          <w:p w14:paraId="003D298C">
            <w:pPr>
              <w:pStyle w:val="27"/>
            </w:pPr>
          </w:p>
        </w:tc>
      </w:tr>
    </w:tbl>
    <w:p w14:paraId="1E3721EE">
      <w:pPr>
        <w:spacing w:line="285" w:lineRule="auto"/>
        <w:rPr>
          <w:rFonts w:ascii="Arial"/>
          <w:sz w:val="21"/>
        </w:rPr>
      </w:pPr>
    </w:p>
    <w:p w14:paraId="0F5D3CB8">
      <w:pPr>
        <w:pStyle w:val="8"/>
        <w:spacing w:before="52" w:line="184" w:lineRule="auto"/>
        <w:ind w:left="8321"/>
        <w:rPr>
          <w:sz w:val="16"/>
          <w:szCs w:val="16"/>
        </w:rPr>
      </w:pPr>
      <w:r>
        <w:rPr>
          <w:b/>
          <w:bCs/>
          <w:sz w:val="16"/>
          <w:szCs w:val="16"/>
        </w:rPr>
        <w:t>【金石工程计价软件V5.42】</w:t>
      </w:r>
    </w:p>
    <w:p w14:paraId="556FC903">
      <w:pPr>
        <w:spacing w:line="184" w:lineRule="auto"/>
        <w:rPr>
          <w:sz w:val="16"/>
          <w:szCs w:val="16"/>
        </w:rPr>
        <w:sectPr>
          <w:type w:val="continuous"/>
          <w:pgSz w:w="11905" w:h="16837"/>
          <w:pgMar w:top="724" w:right="545" w:bottom="1193" w:left="820" w:header="0" w:footer="0" w:gutter="0"/>
          <w:pgNumType w:fmt="decimal"/>
          <w:cols w:equalWidth="0" w:num="1">
            <w:col w:w="10539"/>
          </w:cols>
        </w:sectPr>
      </w:pPr>
    </w:p>
    <w:p w14:paraId="1B35FFB5">
      <w:pPr>
        <w:pStyle w:val="8"/>
        <w:spacing w:before="55" w:line="218" w:lineRule="auto"/>
        <w:ind w:left="3512"/>
        <w:outlineLvl w:val="1"/>
        <w:rPr>
          <w:sz w:val="28"/>
          <w:szCs w:val="28"/>
        </w:rPr>
      </w:pPr>
      <w:r>
        <w:rPr>
          <w:b/>
          <w:bCs/>
          <w:spacing w:val="-2"/>
          <w:sz w:val="28"/>
          <w:szCs w:val="28"/>
        </w:rPr>
        <w:t>总价措施项目清单与计价表</w:t>
      </w:r>
    </w:p>
    <w:p w14:paraId="5654BC73">
      <w:pPr>
        <w:spacing w:before="213" w:line="221" w:lineRule="auto"/>
        <w:ind w:left="74"/>
        <w:rPr>
          <w:rFonts w:ascii="黑体" w:hAnsi="黑体" w:eastAsia="黑体" w:cs="黑体"/>
          <w:sz w:val="18"/>
          <w:szCs w:val="18"/>
        </w:rPr>
      </w:pPr>
      <w:r>
        <w:rPr>
          <w:rFonts w:ascii="黑体" w:hAnsi="黑体" w:eastAsia="黑体" w:cs="黑体"/>
          <w:spacing w:val="1"/>
          <w:sz w:val="18"/>
          <w:szCs w:val="18"/>
        </w:rPr>
        <w:t>工程名称：响水县开发区东风社区道路维修工程                        标段：</w:t>
      </w:r>
    </w:p>
    <w:p w14:paraId="49EB636F">
      <w:pPr>
        <w:spacing w:line="40" w:lineRule="auto"/>
        <w:rPr>
          <w:rFonts w:ascii="Arial"/>
          <w:sz w:val="2"/>
        </w:rPr>
      </w:pPr>
    </w:p>
    <w:p w14:paraId="78551E56">
      <w:pPr>
        <w:spacing w:line="14" w:lineRule="auto"/>
        <w:rPr>
          <w:rFonts w:ascii="Arial"/>
          <w:sz w:val="2"/>
        </w:rPr>
      </w:pPr>
      <w:r>
        <w:rPr>
          <w:rFonts w:ascii="Arial" w:hAnsi="Arial" w:eastAsia="Arial" w:cs="Arial"/>
          <w:sz w:val="2"/>
          <w:szCs w:val="2"/>
        </w:rPr>
        <w:br w:type="column"/>
      </w:r>
    </w:p>
    <w:p w14:paraId="4DD6AAB9">
      <w:pPr>
        <w:spacing w:line="268" w:lineRule="auto"/>
        <w:rPr>
          <w:rFonts w:ascii="Arial"/>
          <w:sz w:val="21"/>
        </w:rPr>
      </w:pPr>
    </w:p>
    <w:p w14:paraId="6446177F">
      <w:pPr>
        <w:spacing w:line="268" w:lineRule="auto"/>
        <w:rPr>
          <w:rFonts w:ascii="Arial"/>
          <w:sz w:val="21"/>
        </w:rPr>
      </w:pPr>
    </w:p>
    <w:p w14:paraId="0FBFEC10">
      <w:pPr>
        <w:spacing w:before="58" w:line="222" w:lineRule="auto"/>
        <w:jc w:val="right"/>
        <w:rPr>
          <w:rFonts w:ascii="黑体" w:hAnsi="黑体" w:eastAsia="黑体" w:cs="黑体"/>
          <w:sz w:val="18"/>
          <w:szCs w:val="18"/>
        </w:rPr>
      </w:pPr>
      <w:r>
        <w:rPr>
          <w:rFonts w:ascii="黑体" w:hAnsi="黑体" w:eastAsia="黑体" w:cs="黑体"/>
          <w:spacing w:val="-3"/>
          <w:sz w:val="18"/>
          <w:szCs w:val="18"/>
        </w:rPr>
        <w:t>第1页</w:t>
      </w:r>
    </w:p>
    <w:p w14:paraId="69EB73E6">
      <w:pPr>
        <w:spacing w:line="14" w:lineRule="auto"/>
        <w:rPr>
          <w:rFonts w:ascii="Arial"/>
          <w:sz w:val="2"/>
        </w:rPr>
      </w:pPr>
      <w:r>
        <w:rPr>
          <w:rFonts w:ascii="Arial" w:hAnsi="Arial" w:eastAsia="Arial" w:cs="Arial"/>
          <w:sz w:val="2"/>
          <w:szCs w:val="2"/>
        </w:rPr>
        <w:br w:type="column"/>
      </w:r>
    </w:p>
    <w:p w14:paraId="2E7F1598">
      <w:pPr>
        <w:spacing w:line="268" w:lineRule="auto"/>
        <w:rPr>
          <w:rFonts w:ascii="Arial"/>
          <w:sz w:val="21"/>
        </w:rPr>
      </w:pPr>
    </w:p>
    <w:p w14:paraId="55390B0C">
      <w:pPr>
        <w:spacing w:line="268" w:lineRule="auto"/>
        <w:rPr>
          <w:rFonts w:ascii="Arial"/>
          <w:sz w:val="21"/>
        </w:rPr>
      </w:pPr>
    </w:p>
    <w:p w14:paraId="5C7B2661">
      <w:pPr>
        <w:spacing w:before="59" w:line="222" w:lineRule="auto"/>
        <w:ind w:left="102"/>
        <w:rPr>
          <w:rFonts w:ascii="黑体" w:hAnsi="黑体" w:eastAsia="黑体" w:cs="黑体"/>
          <w:sz w:val="18"/>
          <w:szCs w:val="18"/>
        </w:rPr>
      </w:pPr>
      <w:r>
        <w:rPr>
          <w:rFonts w:ascii="黑体" w:hAnsi="黑体" w:eastAsia="黑体" w:cs="黑体"/>
          <w:spacing w:val="-3"/>
          <w:sz w:val="18"/>
          <w:szCs w:val="18"/>
        </w:rPr>
        <w:t>共1页</w:t>
      </w:r>
    </w:p>
    <w:p w14:paraId="4AB5DCF6">
      <w:pPr>
        <w:spacing w:line="222" w:lineRule="auto"/>
        <w:rPr>
          <w:rFonts w:ascii="黑体" w:hAnsi="黑体" w:eastAsia="黑体" w:cs="黑体"/>
          <w:sz w:val="18"/>
          <w:szCs w:val="18"/>
        </w:rPr>
        <w:sectPr>
          <w:footerReference r:id="rId8" w:type="default"/>
          <w:pgSz w:w="11905" w:h="16837"/>
          <w:pgMar w:top="724" w:right="593" w:bottom="1162" w:left="820" w:header="0" w:footer="973" w:gutter="0"/>
          <w:pgNumType w:fmt="decimal"/>
          <w:cols w:equalWidth="0" w:num="3">
            <w:col w:w="8951" w:space="100"/>
            <w:col w:w="720" w:space="0"/>
            <w:col w:w="720"/>
          </w:cols>
        </w:sectPr>
      </w:pPr>
    </w:p>
    <w:p w14:paraId="56ACBABB">
      <w:pPr>
        <w:spacing w:line="20" w:lineRule="auto"/>
        <w:rPr>
          <w:rFonts w:ascii="Arial"/>
          <w:sz w:val="2"/>
        </w:rPr>
      </w:pPr>
    </w:p>
    <w:tbl>
      <w:tblPr>
        <w:tblStyle w:val="26"/>
        <w:tblW w:w="10316" w:type="dxa"/>
        <w:tblInd w:w="1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41"/>
        <w:gridCol w:w="1383"/>
        <w:gridCol w:w="1823"/>
        <w:gridCol w:w="1210"/>
        <w:gridCol w:w="959"/>
        <w:gridCol w:w="1210"/>
        <w:gridCol w:w="959"/>
        <w:gridCol w:w="1210"/>
        <w:gridCol w:w="921"/>
      </w:tblGrid>
      <w:tr w14:paraId="304190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6" w:hRule="atLeast"/>
        </w:trPr>
        <w:tc>
          <w:tcPr>
            <w:tcW w:w="641" w:type="dxa"/>
            <w:tcBorders>
              <w:top w:val="single" w:color="000000" w:sz="14" w:space="0"/>
              <w:left w:val="single" w:color="000000" w:sz="14" w:space="0"/>
            </w:tcBorders>
            <w:vAlign w:val="top"/>
          </w:tcPr>
          <w:p w14:paraId="6A2D8FBF">
            <w:pPr>
              <w:pStyle w:val="27"/>
              <w:spacing w:line="247" w:lineRule="auto"/>
            </w:pPr>
          </w:p>
          <w:p w14:paraId="2E35D988">
            <w:pPr>
              <w:spacing w:before="59" w:line="223" w:lineRule="auto"/>
              <w:ind w:left="130"/>
              <w:rPr>
                <w:rFonts w:ascii="黑体" w:hAnsi="黑体" w:eastAsia="黑体" w:cs="黑体"/>
                <w:sz w:val="18"/>
                <w:szCs w:val="18"/>
              </w:rPr>
            </w:pPr>
            <w:r>
              <w:rPr>
                <w:rFonts w:ascii="黑体" w:hAnsi="黑体" w:eastAsia="黑体" w:cs="黑体"/>
                <w:b/>
                <w:bCs/>
                <w:spacing w:val="-3"/>
                <w:sz w:val="18"/>
                <w:szCs w:val="18"/>
              </w:rPr>
              <w:t>序号</w:t>
            </w:r>
          </w:p>
        </w:tc>
        <w:tc>
          <w:tcPr>
            <w:tcW w:w="1383" w:type="dxa"/>
            <w:tcBorders>
              <w:top w:val="single" w:color="000000" w:sz="14" w:space="0"/>
            </w:tcBorders>
            <w:vAlign w:val="top"/>
          </w:tcPr>
          <w:p w14:paraId="716B22AB">
            <w:pPr>
              <w:pStyle w:val="27"/>
              <w:spacing w:line="247" w:lineRule="auto"/>
            </w:pPr>
          </w:p>
          <w:p w14:paraId="4873AF28">
            <w:pPr>
              <w:spacing w:before="59" w:line="221" w:lineRule="auto"/>
              <w:ind w:left="315"/>
              <w:rPr>
                <w:rFonts w:ascii="黑体" w:hAnsi="黑体" w:eastAsia="黑体" w:cs="黑体"/>
                <w:sz w:val="18"/>
                <w:szCs w:val="18"/>
              </w:rPr>
            </w:pPr>
            <w:r>
              <w:rPr>
                <w:rFonts w:ascii="黑体" w:hAnsi="黑体" w:eastAsia="黑体" w:cs="黑体"/>
                <w:b/>
                <w:bCs/>
                <w:sz w:val="18"/>
                <w:szCs w:val="18"/>
              </w:rPr>
              <w:t>项目编码</w:t>
            </w:r>
          </w:p>
        </w:tc>
        <w:tc>
          <w:tcPr>
            <w:tcW w:w="1823" w:type="dxa"/>
            <w:tcBorders>
              <w:top w:val="single" w:color="000000" w:sz="14" w:space="0"/>
            </w:tcBorders>
            <w:vAlign w:val="top"/>
          </w:tcPr>
          <w:p w14:paraId="7EDD0013">
            <w:pPr>
              <w:pStyle w:val="27"/>
              <w:spacing w:line="247" w:lineRule="auto"/>
            </w:pPr>
          </w:p>
          <w:p w14:paraId="78DD0C6E">
            <w:pPr>
              <w:spacing w:before="58" w:line="222" w:lineRule="auto"/>
              <w:ind w:left="540"/>
              <w:rPr>
                <w:rFonts w:ascii="黑体" w:hAnsi="黑体" w:eastAsia="黑体" w:cs="黑体"/>
                <w:sz w:val="18"/>
                <w:szCs w:val="18"/>
              </w:rPr>
            </w:pPr>
            <w:r>
              <w:rPr>
                <w:rFonts w:ascii="黑体" w:hAnsi="黑体" w:eastAsia="黑体" w:cs="黑体"/>
                <w:b/>
                <w:bCs/>
                <w:sz w:val="18"/>
                <w:szCs w:val="18"/>
              </w:rPr>
              <w:t>项目名称</w:t>
            </w:r>
          </w:p>
        </w:tc>
        <w:tc>
          <w:tcPr>
            <w:tcW w:w="1210" w:type="dxa"/>
            <w:tcBorders>
              <w:top w:val="single" w:color="000000" w:sz="14" w:space="0"/>
            </w:tcBorders>
            <w:vAlign w:val="top"/>
          </w:tcPr>
          <w:p w14:paraId="3EE2A7AC">
            <w:pPr>
              <w:pStyle w:val="27"/>
              <w:spacing w:line="247" w:lineRule="auto"/>
            </w:pPr>
          </w:p>
          <w:p w14:paraId="26075890">
            <w:pPr>
              <w:spacing w:before="59" w:line="221" w:lineRule="auto"/>
              <w:ind w:left="241"/>
              <w:rPr>
                <w:rFonts w:ascii="黑体" w:hAnsi="黑体" w:eastAsia="黑体" w:cs="黑体"/>
                <w:sz w:val="18"/>
                <w:szCs w:val="18"/>
              </w:rPr>
            </w:pPr>
            <w:r>
              <w:rPr>
                <w:rFonts w:ascii="黑体" w:hAnsi="黑体" w:eastAsia="黑体" w:cs="黑体"/>
                <w:b/>
                <w:bCs/>
                <w:spacing w:val="-1"/>
                <w:sz w:val="18"/>
                <w:szCs w:val="18"/>
              </w:rPr>
              <w:t>计算基础</w:t>
            </w:r>
          </w:p>
        </w:tc>
        <w:tc>
          <w:tcPr>
            <w:tcW w:w="959" w:type="dxa"/>
            <w:tcBorders>
              <w:top w:val="single" w:color="000000" w:sz="14" w:space="0"/>
            </w:tcBorders>
            <w:vAlign w:val="top"/>
          </w:tcPr>
          <w:p w14:paraId="273A7133">
            <w:pPr>
              <w:pStyle w:val="27"/>
              <w:spacing w:line="247" w:lineRule="auto"/>
            </w:pPr>
          </w:p>
          <w:p w14:paraId="441124A5">
            <w:pPr>
              <w:spacing w:before="59" w:line="223" w:lineRule="auto"/>
              <w:ind w:left="71"/>
              <w:rPr>
                <w:rFonts w:ascii="黑体" w:hAnsi="黑体" w:eastAsia="黑体" w:cs="黑体"/>
                <w:sz w:val="18"/>
                <w:szCs w:val="18"/>
              </w:rPr>
            </w:pPr>
            <w:r>
              <w:rPr>
                <w:rFonts w:ascii="黑体" w:hAnsi="黑体" w:eastAsia="黑体" w:cs="黑体"/>
                <w:b/>
                <w:bCs/>
                <w:spacing w:val="-1"/>
                <w:sz w:val="18"/>
                <w:szCs w:val="18"/>
              </w:rPr>
              <w:t>费率（%）</w:t>
            </w:r>
          </w:p>
        </w:tc>
        <w:tc>
          <w:tcPr>
            <w:tcW w:w="1210" w:type="dxa"/>
            <w:tcBorders>
              <w:top w:val="single" w:color="000000" w:sz="14" w:space="0"/>
            </w:tcBorders>
            <w:vAlign w:val="top"/>
          </w:tcPr>
          <w:p w14:paraId="23F6A414">
            <w:pPr>
              <w:pStyle w:val="27"/>
              <w:spacing w:line="247" w:lineRule="auto"/>
            </w:pPr>
          </w:p>
          <w:p w14:paraId="71C8DEF6">
            <w:pPr>
              <w:spacing w:before="58" w:line="222" w:lineRule="auto"/>
              <w:ind w:left="153"/>
              <w:rPr>
                <w:rFonts w:ascii="黑体" w:hAnsi="黑体" w:eastAsia="黑体" w:cs="黑体"/>
                <w:sz w:val="18"/>
                <w:szCs w:val="18"/>
              </w:rPr>
            </w:pPr>
            <w:r>
              <w:rPr>
                <w:rFonts w:ascii="黑体" w:hAnsi="黑体" w:eastAsia="黑体" w:cs="黑体"/>
                <w:b/>
                <w:bCs/>
                <w:spacing w:val="-1"/>
                <w:sz w:val="18"/>
                <w:szCs w:val="18"/>
              </w:rPr>
              <w:t>金额（元）</w:t>
            </w:r>
          </w:p>
        </w:tc>
        <w:tc>
          <w:tcPr>
            <w:tcW w:w="959" w:type="dxa"/>
            <w:tcBorders>
              <w:top w:val="single" w:color="000000" w:sz="14" w:space="0"/>
            </w:tcBorders>
            <w:vAlign w:val="top"/>
          </w:tcPr>
          <w:p w14:paraId="6542B44D">
            <w:pPr>
              <w:spacing w:before="196" w:line="222" w:lineRule="auto"/>
              <w:ind w:left="312"/>
              <w:rPr>
                <w:rFonts w:ascii="黑体" w:hAnsi="黑体" w:eastAsia="黑体" w:cs="黑体"/>
                <w:sz w:val="18"/>
                <w:szCs w:val="18"/>
              </w:rPr>
            </w:pPr>
            <w:r>
              <w:rPr>
                <w:rFonts w:ascii="黑体" w:hAnsi="黑体" w:eastAsia="黑体" w:cs="黑体"/>
                <w:b/>
                <w:bCs/>
                <w:spacing w:val="-4"/>
                <w:sz w:val="18"/>
                <w:szCs w:val="18"/>
              </w:rPr>
              <w:t>调整</w:t>
            </w:r>
          </w:p>
          <w:p w14:paraId="6FAD321A">
            <w:pPr>
              <w:spacing w:before="8" w:line="223" w:lineRule="auto"/>
              <w:ind w:left="79"/>
              <w:rPr>
                <w:rFonts w:ascii="黑体" w:hAnsi="黑体" w:eastAsia="黑体" w:cs="黑体"/>
                <w:sz w:val="18"/>
                <w:szCs w:val="18"/>
              </w:rPr>
            </w:pPr>
            <w:r>
              <w:rPr>
                <w:rFonts w:ascii="黑体" w:hAnsi="黑体" w:eastAsia="黑体" w:cs="黑体"/>
                <w:b/>
                <w:bCs/>
                <w:spacing w:val="-1"/>
                <w:sz w:val="18"/>
                <w:szCs w:val="18"/>
              </w:rPr>
              <w:t>费率（%）</w:t>
            </w:r>
          </w:p>
        </w:tc>
        <w:tc>
          <w:tcPr>
            <w:tcW w:w="1210" w:type="dxa"/>
            <w:tcBorders>
              <w:top w:val="single" w:color="000000" w:sz="14" w:space="0"/>
            </w:tcBorders>
            <w:vAlign w:val="top"/>
          </w:tcPr>
          <w:p w14:paraId="67FD7135">
            <w:pPr>
              <w:spacing w:before="196" w:line="222" w:lineRule="auto"/>
              <w:ind w:left="349"/>
              <w:rPr>
                <w:rFonts w:ascii="黑体" w:hAnsi="黑体" w:eastAsia="黑体" w:cs="黑体"/>
                <w:sz w:val="18"/>
                <w:szCs w:val="18"/>
              </w:rPr>
            </w:pPr>
            <w:r>
              <w:rPr>
                <w:rFonts w:ascii="黑体" w:hAnsi="黑体" w:eastAsia="黑体" w:cs="黑体"/>
                <w:b/>
                <w:bCs/>
                <w:spacing w:val="-2"/>
                <w:sz w:val="18"/>
                <w:szCs w:val="18"/>
              </w:rPr>
              <w:t>调整后</w:t>
            </w:r>
          </w:p>
          <w:p w14:paraId="35125B3A">
            <w:pPr>
              <w:spacing w:before="7" w:line="222" w:lineRule="auto"/>
              <w:ind w:left="163"/>
              <w:rPr>
                <w:rFonts w:ascii="黑体" w:hAnsi="黑体" w:eastAsia="黑体" w:cs="黑体"/>
                <w:sz w:val="18"/>
                <w:szCs w:val="18"/>
              </w:rPr>
            </w:pPr>
            <w:r>
              <w:rPr>
                <w:rFonts w:ascii="黑体" w:hAnsi="黑体" w:eastAsia="黑体" w:cs="黑体"/>
                <w:b/>
                <w:bCs/>
                <w:spacing w:val="-1"/>
                <w:sz w:val="18"/>
                <w:szCs w:val="18"/>
              </w:rPr>
              <w:t>金额（元）</w:t>
            </w:r>
          </w:p>
        </w:tc>
        <w:tc>
          <w:tcPr>
            <w:tcW w:w="921" w:type="dxa"/>
            <w:tcBorders>
              <w:top w:val="single" w:color="000000" w:sz="14" w:space="0"/>
              <w:right w:val="single" w:color="000000" w:sz="14" w:space="0"/>
            </w:tcBorders>
            <w:vAlign w:val="top"/>
          </w:tcPr>
          <w:p w14:paraId="32E1D469">
            <w:pPr>
              <w:pStyle w:val="27"/>
              <w:spacing w:line="247" w:lineRule="auto"/>
            </w:pPr>
          </w:p>
          <w:p w14:paraId="37659249">
            <w:pPr>
              <w:spacing w:before="58" w:line="222" w:lineRule="auto"/>
              <w:ind w:left="295"/>
              <w:rPr>
                <w:rFonts w:ascii="黑体" w:hAnsi="黑体" w:eastAsia="黑体" w:cs="黑体"/>
                <w:sz w:val="18"/>
                <w:szCs w:val="18"/>
              </w:rPr>
            </w:pPr>
            <w:r>
              <w:rPr>
                <w:rFonts w:ascii="黑体" w:hAnsi="黑体" w:eastAsia="黑体" w:cs="黑体"/>
                <w:b/>
                <w:bCs/>
                <w:spacing w:val="-3"/>
                <w:sz w:val="18"/>
                <w:szCs w:val="18"/>
              </w:rPr>
              <w:t>备注</w:t>
            </w:r>
          </w:p>
        </w:tc>
      </w:tr>
      <w:tr w14:paraId="519681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641" w:type="dxa"/>
            <w:tcBorders>
              <w:left w:val="single" w:color="000000" w:sz="14" w:space="0"/>
            </w:tcBorders>
            <w:vAlign w:val="top"/>
          </w:tcPr>
          <w:p w14:paraId="51D701C9">
            <w:pPr>
              <w:spacing w:before="71" w:line="235" w:lineRule="auto"/>
              <w:ind w:left="282"/>
              <w:rPr>
                <w:rFonts w:ascii="宋体" w:hAnsi="宋体" w:eastAsia="宋体" w:cs="宋体"/>
                <w:sz w:val="18"/>
                <w:szCs w:val="18"/>
              </w:rPr>
            </w:pPr>
            <w:r>
              <w:rPr>
                <w:rFonts w:ascii="宋体" w:hAnsi="宋体" w:eastAsia="宋体" w:cs="宋体"/>
                <w:sz w:val="18"/>
                <w:szCs w:val="18"/>
              </w:rPr>
              <w:t>1</w:t>
            </w:r>
          </w:p>
        </w:tc>
        <w:tc>
          <w:tcPr>
            <w:tcW w:w="1383" w:type="dxa"/>
            <w:vAlign w:val="top"/>
          </w:tcPr>
          <w:p w14:paraId="49CCD38B">
            <w:pPr>
              <w:spacing w:before="71" w:line="235" w:lineRule="auto"/>
              <w:ind w:left="26"/>
              <w:rPr>
                <w:rFonts w:ascii="宋体" w:hAnsi="宋体" w:eastAsia="宋体" w:cs="宋体"/>
                <w:sz w:val="18"/>
                <w:szCs w:val="18"/>
              </w:rPr>
            </w:pPr>
            <w:r>
              <w:rPr>
                <w:rFonts w:ascii="宋体" w:hAnsi="宋体" w:eastAsia="宋体" w:cs="宋体"/>
                <w:sz w:val="18"/>
                <w:szCs w:val="18"/>
              </w:rPr>
              <w:t>041109001001</w:t>
            </w:r>
          </w:p>
        </w:tc>
        <w:tc>
          <w:tcPr>
            <w:tcW w:w="1823" w:type="dxa"/>
            <w:vAlign w:val="top"/>
          </w:tcPr>
          <w:p w14:paraId="7E496402">
            <w:pPr>
              <w:spacing w:before="72" w:line="219" w:lineRule="auto"/>
              <w:ind w:left="30"/>
              <w:rPr>
                <w:rFonts w:ascii="宋体" w:hAnsi="宋体" w:eastAsia="宋体" w:cs="宋体"/>
                <w:sz w:val="18"/>
                <w:szCs w:val="18"/>
              </w:rPr>
            </w:pPr>
            <w:r>
              <w:rPr>
                <w:rFonts w:ascii="宋体" w:hAnsi="宋体" w:eastAsia="宋体" w:cs="宋体"/>
                <w:spacing w:val="-2"/>
                <w:sz w:val="18"/>
                <w:szCs w:val="18"/>
              </w:rPr>
              <w:t>现场安全文明施工</w:t>
            </w:r>
          </w:p>
        </w:tc>
        <w:tc>
          <w:tcPr>
            <w:tcW w:w="1210" w:type="dxa"/>
            <w:vAlign w:val="top"/>
          </w:tcPr>
          <w:p w14:paraId="57F20AE7">
            <w:pPr>
              <w:pStyle w:val="27"/>
            </w:pPr>
          </w:p>
        </w:tc>
        <w:tc>
          <w:tcPr>
            <w:tcW w:w="959" w:type="dxa"/>
            <w:vAlign w:val="top"/>
          </w:tcPr>
          <w:p w14:paraId="73CCB28B">
            <w:pPr>
              <w:pStyle w:val="27"/>
            </w:pPr>
          </w:p>
        </w:tc>
        <w:tc>
          <w:tcPr>
            <w:tcW w:w="1210" w:type="dxa"/>
            <w:vAlign w:val="top"/>
          </w:tcPr>
          <w:p w14:paraId="53D360D0">
            <w:pPr>
              <w:pStyle w:val="27"/>
            </w:pPr>
          </w:p>
        </w:tc>
        <w:tc>
          <w:tcPr>
            <w:tcW w:w="959" w:type="dxa"/>
            <w:vAlign w:val="top"/>
          </w:tcPr>
          <w:p w14:paraId="642EAED1">
            <w:pPr>
              <w:pStyle w:val="27"/>
            </w:pPr>
          </w:p>
        </w:tc>
        <w:tc>
          <w:tcPr>
            <w:tcW w:w="1210" w:type="dxa"/>
            <w:vAlign w:val="top"/>
          </w:tcPr>
          <w:p w14:paraId="3405C89C">
            <w:pPr>
              <w:pStyle w:val="27"/>
            </w:pPr>
          </w:p>
        </w:tc>
        <w:tc>
          <w:tcPr>
            <w:tcW w:w="921" w:type="dxa"/>
            <w:tcBorders>
              <w:right w:val="single" w:color="000000" w:sz="14" w:space="0"/>
            </w:tcBorders>
            <w:vAlign w:val="top"/>
          </w:tcPr>
          <w:p w14:paraId="71CA0836">
            <w:pPr>
              <w:pStyle w:val="27"/>
            </w:pPr>
          </w:p>
        </w:tc>
      </w:tr>
      <w:tr w14:paraId="3AF9B9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20" w:hRule="atLeast"/>
        </w:trPr>
        <w:tc>
          <w:tcPr>
            <w:tcW w:w="641" w:type="dxa"/>
            <w:tcBorders>
              <w:left w:val="single" w:color="000000" w:sz="14" w:space="0"/>
            </w:tcBorders>
            <w:vAlign w:val="top"/>
          </w:tcPr>
          <w:p w14:paraId="0C772FB7">
            <w:pPr>
              <w:pStyle w:val="27"/>
              <w:spacing w:line="466" w:lineRule="auto"/>
            </w:pPr>
          </w:p>
          <w:p w14:paraId="3A9FCADE">
            <w:pPr>
              <w:spacing w:before="58" w:line="239" w:lineRule="auto"/>
              <w:ind w:left="191"/>
              <w:rPr>
                <w:rFonts w:ascii="宋体" w:hAnsi="宋体" w:eastAsia="宋体" w:cs="宋体"/>
                <w:sz w:val="18"/>
                <w:szCs w:val="18"/>
              </w:rPr>
            </w:pPr>
            <w:r>
              <w:rPr>
                <w:rFonts w:ascii="宋体" w:hAnsi="宋体" w:eastAsia="宋体" w:cs="宋体"/>
                <w:spacing w:val="-7"/>
                <w:sz w:val="18"/>
                <w:szCs w:val="18"/>
              </w:rPr>
              <w:t>1.1</w:t>
            </w:r>
          </w:p>
        </w:tc>
        <w:tc>
          <w:tcPr>
            <w:tcW w:w="1383" w:type="dxa"/>
            <w:vAlign w:val="top"/>
          </w:tcPr>
          <w:p w14:paraId="4F47727B">
            <w:pPr>
              <w:pStyle w:val="27"/>
            </w:pPr>
          </w:p>
        </w:tc>
        <w:tc>
          <w:tcPr>
            <w:tcW w:w="1823" w:type="dxa"/>
            <w:vAlign w:val="top"/>
          </w:tcPr>
          <w:p w14:paraId="26CE96D4">
            <w:pPr>
              <w:pStyle w:val="27"/>
              <w:spacing w:line="465" w:lineRule="auto"/>
            </w:pPr>
          </w:p>
          <w:p w14:paraId="603F3C76">
            <w:pPr>
              <w:spacing w:before="59" w:line="219" w:lineRule="auto"/>
              <w:ind w:left="29"/>
              <w:rPr>
                <w:rFonts w:ascii="宋体" w:hAnsi="宋体" w:eastAsia="宋体" w:cs="宋体"/>
                <w:sz w:val="18"/>
                <w:szCs w:val="18"/>
              </w:rPr>
            </w:pPr>
            <w:r>
              <w:rPr>
                <w:rFonts w:ascii="宋体" w:hAnsi="宋体" w:eastAsia="宋体" w:cs="宋体"/>
                <w:spacing w:val="-3"/>
                <w:sz w:val="18"/>
                <w:szCs w:val="18"/>
              </w:rPr>
              <w:t>基本费</w:t>
            </w:r>
          </w:p>
        </w:tc>
        <w:tc>
          <w:tcPr>
            <w:tcW w:w="1210" w:type="dxa"/>
            <w:vAlign w:val="top"/>
          </w:tcPr>
          <w:p w14:paraId="2E7C6244">
            <w:pPr>
              <w:spacing w:before="191" w:line="232" w:lineRule="auto"/>
              <w:ind w:left="37" w:right="86"/>
              <w:jc w:val="both"/>
              <w:rPr>
                <w:rFonts w:ascii="宋体" w:hAnsi="宋体" w:eastAsia="宋体" w:cs="宋体"/>
                <w:sz w:val="18"/>
                <w:szCs w:val="18"/>
              </w:rPr>
            </w:pPr>
            <w:r>
              <w:rPr>
                <w:rFonts w:ascii="宋体" w:hAnsi="宋体" w:eastAsia="宋体" w:cs="宋体"/>
                <w:spacing w:val="-2"/>
                <w:sz w:val="18"/>
                <w:szCs w:val="18"/>
              </w:rPr>
              <w:t>分部分项工程费+单价措施项目费-除税工程设备费</w:t>
            </w:r>
          </w:p>
        </w:tc>
        <w:tc>
          <w:tcPr>
            <w:tcW w:w="959" w:type="dxa"/>
            <w:vAlign w:val="top"/>
          </w:tcPr>
          <w:p w14:paraId="40EE2E28">
            <w:pPr>
              <w:pStyle w:val="27"/>
              <w:spacing w:line="466" w:lineRule="auto"/>
            </w:pPr>
          </w:p>
          <w:p w14:paraId="6659E481">
            <w:pPr>
              <w:spacing w:before="58" w:line="239" w:lineRule="auto"/>
              <w:ind w:right="13"/>
              <w:jc w:val="right"/>
              <w:rPr>
                <w:rFonts w:ascii="宋体" w:hAnsi="宋体" w:eastAsia="宋体" w:cs="宋体"/>
                <w:sz w:val="18"/>
                <w:szCs w:val="18"/>
              </w:rPr>
            </w:pPr>
            <w:r>
              <w:rPr>
                <w:rFonts w:ascii="宋体" w:hAnsi="宋体" w:eastAsia="宋体" w:cs="宋体"/>
                <w:spacing w:val="-4"/>
                <w:sz w:val="18"/>
                <w:szCs w:val="18"/>
              </w:rPr>
              <w:t>1.500</w:t>
            </w:r>
          </w:p>
        </w:tc>
        <w:tc>
          <w:tcPr>
            <w:tcW w:w="1210" w:type="dxa"/>
            <w:vAlign w:val="top"/>
          </w:tcPr>
          <w:p w14:paraId="429CD936">
            <w:pPr>
              <w:pStyle w:val="27"/>
            </w:pPr>
          </w:p>
        </w:tc>
        <w:tc>
          <w:tcPr>
            <w:tcW w:w="959" w:type="dxa"/>
            <w:vAlign w:val="top"/>
          </w:tcPr>
          <w:p w14:paraId="69EA3641">
            <w:pPr>
              <w:pStyle w:val="27"/>
            </w:pPr>
          </w:p>
        </w:tc>
        <w:tc>
          <w:tcPr>
            <w:tcW w:w="1210" w:type="dxa"/>
            <w:vAlign w:val="top"/>
          </w:tcPr>
          <w:p w14:paraId="12AE3B79">
            <w:pPr>
              <w:pStyle w:val="27"/>
            </w:pPr>
          </w:p>
        </w:tc>
        <w:tc>
          <w:tcPr>
            <w:tcW w:w="921" w:type="dxa"/>
            <w:tcBorders>
              <w:right w:val="single" w:color="000000" w:sz="14" w:space="0"/>
            </w:tcBorders>
            <w:vAlign w:val="top"/>
          </w:tcPr>
          <w:p w14:paraId="5427C388">
            <w:pPr>
              <w:pStyle w:val="27"/>
            </w:pPr>
          </w:p>
        </w:tc>
      </w:tr>
      <w:tr w14:paraId="4E4CEE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06" w:hRule="atLeast"/>
        </w:trPr>
        <w:tc>
          <w:tcPr>
            <w:tcW w:w="641" w:type="dxa"/>
            <w:tcBorders>
              <w:left w:val="single" w:color="000000" w:sz="14" w:space="0"/>
            </w:tcBorders>
            <w:vAlign w:val="top"/>
          </w:tcPr>
          <w:p w14:paraId="7C99841E">
            <w:pPr>
              <w:pStyle w:val="27"/>
              <w:spacing w:line="461" w:lineRule="auto"/>
            </w:pPr>
          </w:p>
          <w:p w14:paraId="5800D5B5">
            <w:pPr>
              <w:spacing w:before="59" w:line="239" w:lineRule="auto"/>
              <w:ind w:left="191"/>
              <w:rPr>
                <w:rFonts w:ascii="宋体" w:hAnsi="宋体" w:eastAsia="宋体" w:cs="宋体"/>
                <w:sz w:val="18"/>
                <w:szCs w:val="18"/>
              </w:rPr>
            </w:pPr>
            <w:r>
              <w:rPr>
                <w:rFonts w:ascii="宋体" w:hAnsi="宋体" w:eastAsia="宋体" w:cs="宋体"/>
                <w:spacing w:val="-7"/>
                <w:sz w:val="18"/>
                <w:szCs w:val="18"/>
              </w:rPr>
              <w:t>1.2</w:t>
            </w:r>
          </w:p>
        </w:tc>
        <w:tc>
          <w:tcPr>
            <w:tcW w:w="1383" w:type="dxa"/>
            <w:vAlign w:val="top"/>
          </w:tcPr>
          <w:p w14:paraId="6AFB497F">
            <w:pPr>
              <w:pStyle w:val="27"/>
            </w:pPr>
          </w:p>
        </w:tc>
        <w:tc>
          <w:tcPr>
            <w:tcW w:w="1823" w:type="dxa"/>
            <w:vAlign w:val="top"/>
          </w:tcPr>
          <w:p w14:paraId="7020F474">
            <w:pPr>
              <w:pStyle w:val="27"/>
              <w:spacing w:line="462" w:lineRule="auto"/>
            </w:pPr>
          </w:p>
          <w:p w14:paraId="6ADA9F25">
            <w:pPr>
              <w:spacing w:before="58" w:line="220" w:lineRule="auto"/>
              <w:ind w:left="29"/>
              <w:rPr>
                <w:rFonts w:ascii="宋体" w:hAnsi="宋体" w:eastAsia="宋体" w:cs="宋体"/>
                <w:sz w:val="18"/>
                <w:szCs w:val="18"/>
              </w:rPr>
            </w:pPr>
            <w:r>
              <w:rPr>
                <w:rFonts w:ascii="宋体" w:hAnsi="宋体" w:eastAsia="宋体" w:cs="宋体"/>
                <w:spacing w:val="-2"/>
                <w:sz w:val="18"/>
                <w:szCs w:val="18"/>
              </w:rPr>
              <w:t>标化增加费</w:t>
            </w:r>
          </w:p>
        </w:tc>
        <w:tc>
          <w:tcPr>
            <w:tcW w:w="1210" w:type="dxa"/>
            <w:vAlign w:val="top"/>
          </w:tcPr>
          <w:p w14:paraId="57C61D41">
            <w:pPr>
              <w:spacing w:before="184" w:line="233" w:lineRule="auto"/>
              <w:ind w:left="37" w:right="86"/>
              <w:jc w:val="both"/>
              <w:rPr>
                <w:rFonts w:ascii="宋体" w:hAnsi="宋体" w:eastAsia="宋体" w:cs="宋体"/>
                <w:sz w:val="18"/>
                <w:szCs w:val="18"/>
              </w:rPr>
            </w:pPr>
            <w:r>
              <w:rPr>
                <w:rFonts w:ascii="宋体" w:hAnsi="宋体" w:eastAsia="宋体" w:cs="宋体"/>
                <w:spacing w:val="-2"/>
                <w:sz w:val="18"/>
                <w:szCs w:val="18"/>
              </w:rPr>
              <w:t>分部分项工程费+单价措施项目费-除税工程设备费</w:t>
            </w:r>
          </w:p>
        </w:tc>
        <w:tc>
          <w:tcPr>
            <w:tcW w:w="959" w:type="dxa"/>
            <w:vAlign w:val="top"/>
          </w:tcPr>
          <w:p w14:paraId="12027E55">
            <w:pPr>
              <w:pStyle w:val="27"/>
            </w:pPr>
          </w:p>
        </w:tc>
        <w:tc>
          <w:tcPr>
            <w:tcW w:w="1210" w:type="dxa"/>
            <w:vAlign w:val="top"/>
          </w:tcPr>
          <w:p w14:paraId="0EAB657E">
            <w:pPr>
              <w:pStyle w:val="27"/>
            </w:pPr>
          </w:p>
        </w:tc>
        <w:tc>
          <w:tcPr>
            <w:tcW w:w="959" w:type="dxa"/>
            <w:vAlign w:val="top"/>
          </w:tcPr>
          <w:p w14:paraId="7B95AA50">
            <w:pPr>
              <w:pStyle w:val="27"/>
            </w:pPr>
          </w:p>
        </w:tc>
        <w:tc>
          <w:tcPr>
            <w:tcW w:w="1210" w:type="dxa"/>
            <w:vAlign w:val="top"/>
          </w:tcPr>
          <w:p w14:paraId="73E84823">
            <w:pPr>
              <w:pStyle w:val="27"/>
            </w:pPr>
          </w:p>
        </w:tc>
        <w:tc>
          <w:tcPr>
            <w:tcW w:w="921" w:type="dxa"/>
            <w:tcBorders>
              <w:right w:val="single" w:color="000000" w:sz="14" w:space="0"/>
            </w:tcBorders>
            <w:vAlign w:val="top"/>
          </w:tcPr>
          <w:p w14:paraId="5EA165E7">
            <w:pPr>
              <w:pStyle w:val="27"/>
            </w:pPr>
          </w:p>
        </w:tc>
      </w:tr>
      <w:tr w14:paraId="56E24E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20" w:hRule="atLeast"/>
        </w:trPr>
        <w:tc>
          <w:tcPr>
            <w:tcW w:w="641" w:type="dxa"/>
            <w:tcBorders>
              <w:left w:val="single" w:color="000000" w:sz="14" w:space="0"/>
            </w:tcBorders>
            <w:vAlign w:val="top"/>
          </w:tcPr>
          <w:p w14:paraId="7D5DD069">
            <w:pPr>
              <w:pStyle w:val="27"/>
              <w:spacing w:line="472" w:lineRule="auto"/>
            </w:pPr>
          </w:p>
          <w:p w14:paraId="6B970868">
            <w:pPr>
              <w:spacing w:before="59" w:line="239" w:lineRule="auto"/>
              <w:ind w:left="191"/>
              <w:rPr>
                <w:rFonts w:ascii="宋体" w:hAnsi="宋体" w:eastAsia="宋体" w:cs="宋体"/>
                <w:sz w:val="18"/>
                <w:szCs w:val="18"/>
              </w:rPr>
            </w:pPr>
            <w:r>
              <w:rPr>
                <w:rFonts w:ascii="宋体" w:hAnsi="宋体" w:eastAsia="宋体" w:cs="宋体"/>
                <w:spacing w:val="-7"/>
                <w:sz w:val="18"/>
                <w:szCs w:val="18"/>
              </w:rPr>
              <w:t>1.3</w:t>
            </w:r>
          </w:p>
        </w:tc>
        <w:tc>
          <w:tcPr>
            <w:tcW w:w="1383" w:type="dxa"/>
            <w:vAlign w:val="top"/>
          </w:tcPr>
          <w:p w14:paraId="0AA4CFA9">
            <w:pPr>
              <w:pStyle w:val="27"/>
            </w:pPr>
          </w:p>
        </w:tc>
        <w:tc>
          <w:tcPr>
            <w:tcW w:w="1823" w:type="dxa"/>
            <w:vAlign w:val="top"/>
          </w:tcPr>
          <w:p w14:paraId="4EB2EA62">
            <w:pPr>
              <w:pStyle w:val="27"/>
              <w:spacing w:line="472" w:lineRule="auto"/>
            </w:pPr>
          </w:p>
          <w:p w14:paraId="680B0818">
            <w:pPr>
              <w:spacing w:before="59" w:line="220" w:lineRule="auto"/>
              <w:ind w:left="28"/>
              <w:rPr>
                <w:rFonts w:ascii="宋体" w:hAnsi="宋体" w:eastAsia="宋体" w:cs="宋体"/>
                <w:sz w:val="18"/>
                <w:szCs w:val="18"/>
              </w:rPr>
            </w:pPr>
            <w:r>
              <w:rPr>
                <w:rFonts w:ascii="宋体" w:hAnsi="宋体" w:eastAsia="宋体" w:cs="宋体"/>
                <w:spacing w:val="-1"/>
                <w:sz w:val="18"/>
                <w:szCs w:val="18"/>
              </w:rPr>
              <w:t>扬尘污染防治增加费</w:t>
            </w:r>
          </w:p>
        </w:tc>
        <w:tc>
          <w:tcPr>
            <w:tcW w:w="1210" w:type="dxa"/>
            <w:vAlign w:val="top"/>
          </w:tcPr>
          <w:p w14:paraId="00034DD8">
            <w:pPr>
              <w:spacing w:before="194" w:line="233" w:lineRule="auto"/>
              <w:ind w:left="37" w:right="86"/>
              <w:jc w:val="both"/>
              <w:rPr>
                <w:rFonts w:ascii="宋体" w:hAnsi="宋体" w:eastAsia="宋体" w:cs="宋体"/>
                <w:sz w:val="18"/>
                <w:szCs w:val="18"/>
              </w:rPr>
            </w:pPr>
            <w:r>
              <w:rPr>
                <w:rFonts w:ascii="宋体" w:hAnsi="宋体" w:eastAsia="宋体" w:cs="宋体"/>
                <w:spacing w:val="-2"/>
                <w:sz w:val="18"/>
                <w:szCs w:val="18"/>
              </w:rPr>
              <w:t>分部分项工程费+单价措施项目费-除税工程设备费</w:t>
            </w:r>
          </w:p>
        </w:tc>
        <w:tc>
          <w:tcPr>
            <w:tcW w:w="959" w:type="dxa"/>
            <w:vAlign w:val="top"/>
          </w:tcPr>
          <w:p w14:paraId="25218A9E">
            <w:pPr>
              <w:pStyle w:val="27"/>
              <w:spacing w:line="472" w:lineRule="auto"/>
            </w:pPr>
          </w:p>
          <w:p w14:paraId="043D873A">
            <w:pPr>
              <w:spacing w:before="59" w:line="239" w:lineRule="auto"/>
              <w:ind w:right="13"/>
              <w:jc w:val="right"/>
              <w:rPr>
                <w:rFonts w:ascii="宋体" w:hAnsi="宋体" w:eastAsia="宋体" w:cs="宋体"/>
                <w:sz w:val="18"/>
                <w:szCs w:val="18"/>
              </w:rPr>
            </w:pPr>
            <w:r>
              <w:rPr>
                <w:rFonts w:ascii="宋体" w:hAnsi="宋体" w:eastAsia="宋体" w:cs="宋体"/>
                <w:spacing w:val="-1"/>
                <w:sz w:val="18"/>
                <w:szCs w:val="18"/>
              </w:rPr>
              <w:t>0.310</w:t>
            </w:r>
          </w:p>
        </w:tc>
        <w:tc>
          <w:tcPr>
            <w:tcW w:w="1210" w:type="dxa"/>
            <w:vAlign w:val="top"/>
          </w:tcPr>
          <w:p w14:paraId="18827F73">
            <w:pPr>
              <w:pStyle w:val="27"/>
            </w:pPr>
          </w:p>
        </w:tc>
        <w:tc>
          <w:tcPr>
            <w:tcW w:w="959" w:type="dxa"/>
            <w:vAlign w:val="top"/>
          </w:tcPr>
          <w:p w14:paraId="64EC7C25">
            <w:pPr>
              <w:pStyle w:val="27"/>
            </w:pPr>
          </w:p>
        </w:tc>
        <w:tc>
          <w:tcPr>
            <w:tcW w:w="1210" w:type="dxa"/>
            <w:vAlign w:val="top"/>
          </w:tcPr>
          <w:p w14:paraId="5DB04D44">
            <w:pPr>
              <w:pStyle w:val="27"/>
            </w:pPr>
          </w:p>
        </w:tc>
        <w:tc>
          <w:tcPr>
            <w:tcW w:w="921" w:type="dxa"/>
            <w:tcBorders>
              <w:right w:val="single" w:color="000000" w:sz="14" w:space="0"/>
            </w:tcBorders>
            <w:vAlign w:val="top"/>
          </w:tcPr>
          <w:p w14:paraId="3490C63C">
            <w:pPr>
              <w:pStyle w:val="27"/>
            </w:pPr>
          </w:p>
        </w:tc>
      </w:tr>
      <w:tr w14:paraId="2A4745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20" w:hRule="atLeast"/>
        </w:trPr>
        <w:tc>
          <w:tcPr>
            <w:tcW w:w="641" w:type="dxa"/>
            <w:tcBorders>
              <w:left w:val="single" w:color="000000" w:sz="14" w:space="0"/>
            </w:tcBorders>
            <w:vAlign w:val="top"/>
          </w:tcPr>
          <w:p w14:paraId="39D55915">
            <w:pPr>
              <w:pStyle w:val="27"/>
              <w:spacing w:line="475" w:lineRule="auto"/>
            </w:pPr>
          </w:p>
          <w:p w14:paraId="2F34D718">
            <w:pPr>
              <w:spacing w:before="59" w:line="241" w:lineRule="auto"/>
              <w:ind w:left="271"/>
              <w:rPr>
                <w:rFonts w:ascii="宋体" w:hAnsi="宋体" w:eastAsia="宋体" w:cs="宋体"/>
                <w:sz w:val="18"/>
                <w:szCs w:val="18"/>
              </w:rPr>
            </w:pPr>
            <w:r>
              <w:rPr>
                <w:rFonts w:ascii="宋体" w:hAnsi="宋体" w:eastAsia="宋体" w:cs="宋体"/>
                <w:sz w:val="18"/>
                <w:szCs w:val="18"/>
              </w:rPr>
              <w:t>2</w:t>
            </w:r>
          </w:p>
        </w:tc>
        <w:tc>
          <w:tcPr>
            <w:tcW w:w="1383" w:type="dxa"/>
            <w:vAlign w:val="top"/>
          </w:tcPr>
          <w:p w14:paraId="00753526">
            <w:pPr>
              <w:pStyle w:val="27"/>
              <w:spacing w:line="475" w:lineRule="auto"/>
            </w:pPr>
          </w:p>
          <w:p w14:paraId="2A501572">
            <w:pPr>
              <w:spacing w:before="58"/>
              <w:ind w:left="26"/>
              <w:rPr>
                <w:rFonts w:ascii="宋体" w:hAnsi="宋体" w:eastAsia="宋体" w:cs="宋体"/>
                <w:sz w:val="18"/>
                <w:szCs w:val="18"/>
              </w:rPr>
            </w:pPr>
            <w:r>
              <w:rPr>
                <w:rFonts w:ascii="宋体" w:hAnsi="宋体" w:eastAsia="宋体" w:cs="宋体"/>
                <w:sz w:val="18"/>
                <w:szCs w:val="18"/>
              </w:rPr>
              <w:t>041109010001</w:t>
            </w:r>
          </w:p>
        </w:tc>
        <w:tc>
          <w:tcPr>
            <w:tcW w:w="1823" w:type="dxa"/>
            <w:vAlign w:val="top"/>
          </w:tcPr>
          <w:p w14:paraId="5C29A6E6">
            <w:pPr>
              <w:pStyle w:val="27"/>
              <w:spacing w:line="475" w:lineRule="auto"/>
            </w:pPr>
          </w:p>
          <w:p w14:paraId="67F84E06">
            <w:pPr>
              <w:spacing w:before="59" w:line="218" w:lineRule="auto"/>
              <w:ind w:left="31"/>
              <w:rPr>
                <w:rFonts w:ascii="宋体" w:hAnsi="宋体" w:eastAsia="宋体" w:cs="宋体"/>
                <w:sz w:val="18"/>
                <w:szCs w:val="18"/>
              </w:rPr>
            </w:pPr>
            <w:r>
              <w:rPr>
                <w:rFonts w:ascii="宋体" w:hAnsi="宋体" w:eastAsia="宋体" w:cs="宋体"/>
                <w:spacing w:val="-2"/>
                <w:sz w:val="18"/>
                <w:szCs w:val="18"/>
              </w:rPr>
              <w:t>工程按质论价</w:t>
            </w:r>
          </w:p>
        </w:tc>
        <w:tc>
          <w:tcPr>
            <w:tcW w:w="1210" w:type="dxa"/>
            <w:vAlign w:val="top"/>
          </w:tcPr>
          <w:p w14:paraId="7867B550">
            <w:pPr>
              <w:spacing w:before="199" w:line="232" w:lineRule="auto"/>
              <w:ind w:left="37" w:right="86"/>
              <w:jc w:val="both"/>
              <w:rPr>
                <w:rFonts w:ascii="宋体" w:hAnsi="宋体" w:eastAsia="宋体" w:cs="宋体"/>
                <w:sz w:val="18"/>
                <w:szCs w:val="18"/>
              </w:rPr>
            </w:pPr>
            <w:r>
              <w:rPr>
                <w:rFonts w:ascii="宋体" w:hAnsi="宋体" w:eastAsia="宋体" w:cs="宋体"/>
                <w:spacing w:val="-2"/>
                <w:sz w:val="18"/>
                <w:szCs w:val="18"/>
              </w:rPr>
              <w:t>分部分项工程费+单价措施项目费-除税工程设备费</w:t>
            </w:r>
          </w:p>
        </w:tc>
        <w:tc>
          <w:tcPr>
            <w:tcW w:w="959" w:type="dxa"/>
            <w:vAlign w:val="top"/>
          </w:tcPr>
          <w:p w14:paraId="79C22A91">
            <w:pPr>
              <w:pStyle w:val="27"/>
            </w:pPr>
          </w:p>
        </w:tc>
        <w:tc>
          <w:tcPr>
            <w:tcW w:w="1210" w:type="dxa"/>
            <w:vAlign w:val="top"/>
          </w:tcPr>
          <w:p w14:paraId="70A55688">
            <w:pPr>
              <w:pStyle w:val="27"/>
            </w:pPr>
          </w:p>
        </w:tc>
        <w:tc>
          <w:tcPr>
            <w:tcW w:w="959" w:type="dxa"/>
            <w:vAlign w:val="top"/>
          </w:tcPr>
          <w:p w14:paraId="15369AA1">
            <w:pPr>
              <w:pStyle w:val="27"/>
            </w:pPr>
          </w:p>
        </w:tc>
        <w:tc>
          <w:tcPr>
            <w:tcW w:w="1210" w:type="dxa"/>
            <w:vAlign w:val="top"/>
          </w:tcPr>
          <w:p w14:paraId="5FC11F1B">
            <w:pPr>
              <w:pStyle w:val="27"/>
            </w:pPr>
          </w:p>
        </w:tc>
        <w:tc>
          <w:tcPr>
            <w:tcW w:w="921" w:type="dxa"/>
            <w:tcBorders>
              <w:right w:val="single" w:color="000000" w:sz="14" w:space="0"/>
            </w:tcBorders>
            <w:vAlign w:val="top"/>
          </w:tcPr>
          <w:p w14:paraId="6FB36DE5">
            <w:pPr>
              <w:pStyle w:val="27"/>
            </w:pPr>
          </w:p>
        </w:tc>
      </w:tr>
      <w:tr w14:paraId="11DE2F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641" w:type="dxa"/>
            <w:tcBorders>
              <w:left w:val="single" w:color="000000" w:sz="14" w:space="0"/>
            </w:tcBorders>
            <w:vAlign w:val="top"/>
          </w:tcPr>
          <w:p w14:paraId="4B30B789">
            <w:pPr>
              <w:spacing w:before="84" w:line="221" w:lineRule="auto"/>
              <w:ind w:left="272"/>
              <w:rPr>
                <w:rFonts w:ascii="宋体" w:hAnsi="宋体" w:eastAsia="宋体" w:cs="宋体"/>
                <w:sz w:val="18"/>
                <w:szCs w:val="18"/>
              </w:rPr>
            </w:pPr>
            <w:r>
              <w:rPr>
                <w:rFonts w:ascii="宋体" w:hAnsi="宋体" w:eastAsia="宋体" w:cs="宋体"/>
                <w:sz w:val="18"/>
                <w:szCs w:val="18"/>
              </w:rPr>
              <w:t>3</w:t>
            </w:r>
          </w:p>
        </w:tc>
        <w:tc>
          <w:tcPr>
            <w:tcW w:w="1383" w:type="dxa"/>
            <w:vAlign w:val="top"/>
          </w:tcPr>
          <w:p w14:paraId="4D53505D">
            <w:pPr>
              <w:spacing w:before="84" w:line="221" w:lineRule="auto"/>
              <w:ind w:left="26"/>
              <w:rPr>
                <w:rFonts w:ascii="宋体" w:hAnsi="宋体" w:eastAsia="宋体" w:cs="宋体"/>
                <w:sz w:val="18"/>
                <w:szCs w:val="18"/>
              </w:rPr>
            </w:pPr>
            <w:r>
              <w:rPr>
                <w:rFonts w:ascii="宋体" w:hAnsi="宋体" w:eastAsia="宋体" w:cs="宋体"/>
                <w:sz w:val="18"/>
                <w:szCs w:val="18"/>
              </w:rPr>
              <w:t>041109002001</w:t>
            </w:r>
          </w:p>
        </w:tc>
        <w:tc>
          <w:tcPr>
            <w:tcW w:w="1823" w:type="dxa"/>
            <w:vAlign w:val="top"/>
          </w:tcPr>
          <w:p w14:paraId="4E046FF7">
            <w:pPr>
              <w:spacing w:before="84" w:line="219" w:lineRule="auto"/>
              <w:ind w:left="32"/>
              <w:rPr>
                <w:rFonts w:ascii="宋体" w:hAnsi="宋体" w:eastAsia="宋体" w:cs="宋体"/>
                <w:sz w:val="18"/>
                <w:szCs w:val="18"/>
              </w:rPr>
            </w:pPr>
            <w:r>
              <w:rPr>
                <w:rFonts w:ascii="宋体" w:hAnsi="宋体" w:eastAsia="宋体" w:cs="宋体"/>
                <w:spacing w:val="-3"/>
                <w:sz w:val="18"/>
                <w:szCs w:val="18"/>
              </w:rPr>
              <w:t>夜间施工</w:t>
            </w:r>
          </w:p>
        </w:tc>
        <w:tc>
          <w:tcPr>
            <w:tcW w:w="1210" w:type="dxa"/>
            <w:vAlign w:val="top"/>
          </w:tcPr>
          <w:p w14:paraId="739DB748">
            <w:pPr>
              <w:pStyle w:val="27"/>
            </w:pPr>
          </w:p>
        </w:tc>
        <w:tc>
          <w:tcPr>
            <w:tcW w:w="959" w:type="dxa"/>
            <w:vAlign w:val="top"/>
          </w:tcPr>
          <w:p w14:paraId="109A4CAE">
            <w:pPr>
              <w:pStyle w:val="27"/>
            </w:pPr>
          </w:p>
        </w:tc>
        <w:tc>
          <w:tcPr>
            <w:tcW w:w="1210" w:type="dxa"/>
            <w:vAlign w:val="top"/>
          </w:tcPr>
          <w:p w14:paraId="5C07CAE9">
            <w:pPr>
              <w:pStyle w:val="27"/>
            </w:pPr>
          </w:p>
        </w:tc>
        <w:tc>
          <w:tcPr>
            <w:tcW w:w="959" w:type="dxa"/>
            <w:vAlign w:val="top"/>
          </w:tcPr>
          <w:p w14:paraId="263AB086">
            <w:pPr>
              <w:pStyle w:val="27"/>
            </w:pPr>
          </w:p>
        </w:tc>
        <w:tc>
          <w:tcPr>
            <w:tcW w:w="1210" w:type="dxa"/>
            <w:vAlign w:val="top"/>
          </w:tcPr>
          <w:p w14:paraId="4182AD67">
            <w:pPr>
              <w:pStyle w:val="27"/>
            </w:pPr>
          </w:p>
        </w:tc>
        <w:tc>
          <w:tcPr>
            <w:tcW w:w="921" w:type="dxa"/>
            <w:tcBorders>
              <w:right w:val="single" w:color="000000" w:sz="14" w:space="0"/>
            </w:tcBorders>
            <w:vAlign w:val="top"/>
          </w:tcPr>
          <w:p w14:paraId="360D2BF3">
            <w:pPr>
              <w:pStyle w:val="27"/>
            </w:pPr>
          </w:p>
        </w:tc>
      </w:tr>
      <w:tr w14:paraId="2DCC4A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0B6498C6">
            <w:pPr>
              <w:spacing w:before="92" w:line="228" w:lineRule="auto"/>
              <w:ind w:left="268"/>
              <w:rPr>
                <w:rFonts w:ascii="宋体" w:hAnsi="宋体" w:eastAsia="宋体" w:cs="宋体"/>
                <w:sz w:val="18"/>
                <w:szCs w:val="18"/>
              </w:rPr>
            </w:pPr>
            <w:r>
              <w:rPr>
                <w:rFonts w:ascii="宋体" w:hAnsi="宋体" w:eastAsia="宋体" w:cs="宋体"/>
                <w:sz w:val="18"/>
                <w:szCs w:val="18"/>
              </w:rPr>
              <w:t>4</w:t>
            </w:r>
          </w:p>
        </w:tc>
        <w:tc>
          <w:tcPr>
            <w:tcW w:w="1383" w:type="dxa"/>
            <w:vAlign w:val="top"/>
          </w:tcPr>
          <w:p w14:paraId="03D8C556">
            <w:pPr>
              <w:spacing w:before="92" w:line="228" w:lineRule="auto"/>
              <w:ind w:left="26"/>
              <w:rPr>
                <w:rFonts w:ascii="宋体" w:hAnsi="宋体" w:eastAsia="宋体" w:cs="宋体"/>
                <w:sz w:val="18"/>
                <w:szCs w:val="18"/>
              </w:rPr>
            </w:pPr>
            <w:r>
              <w:rPr>
                <w:rFonts w:ascii="宋体" w:hAnsi="宋体" w:eastAsia="宋体" w:cs="宋体"/>
                <w:sz w:val="18"/>
                <w:szCs w:val="18"/>
              </w:rPr>
              <w:t>041109003001</w:t>
            </w:r>
          </w:p>
        </w:tc>
        <w:tc>
          <w:tcPr>
            <w:tcW w:w="1823" w:type="dxa"/>
            <w:vAlign w:val="top"/>
          </w:tcPr>
          <w:p w14:paraId="7C8DB226">
            <w:pPr>
              <w:spacing w:before="93" w:line="219" w:lineRule="auto"/>
              <w:ind w:left="32"/>
              <w:rPr>
                <w:rFonts w:ascii="宋体" w:hAnsi="宋体" w:eastAsia="宋体" w:cs="宋体"/>
                <w:sz w:val="18"/>
                <w:szCs w:val="18"/>
              </w:rPr>
            </w:pPr>
            <w:r>
              <w:rPr>
                <w:rFonts w:ascii="宋体" w:hAnsi="宋体" w:eastAsia="宋体" w:cs="宋体"/>
                <w:spacing w:val="-3"/>
                <w:sz w:val="18"/>
                <w:szCs w:val="18"/>
              </w:rPr>
              <w:t>二次搬运</w:t>
            </w:r>
          </w:p>
        </w:tc>
        <w:tc>
          <w:tcPr>
            <w:tcW w:w="1210" w:type="dxa"/>
            <w:vAlign w:val="top"/>
          </w:tcPr>
          <w:p w14:paraId="0A4B668E">
            <w:pPr>
              <w:pStyle w:val="27"/>
            </w:pPr>
          </w:p>
        </w:tc>
        <w:tc>
          <w:tcPr>
            <w:tcW w:w="959" w:type="dxa"/>
            <w:vAlign w:val="top"/>
          </w:tcPr>
          <w:p w14:paraId="5022B0BA">
            <w:pPr>
              <w:pStyle w:val="27"/>
            </w:pPr>
          </w:p>
        </w:tc>
        <w:tc>
          <w:tcPr>
            <w:tcW w:w="1210" w:type="dxa"/>
            <w:vAlign w:val="top"/>
          </w:tcPr>
          <w:p w14:paraId="0D9DB330">
            <w:pPr>
              <w:pStyle w:val="27"/>
            </w:pPr>
          </w:p>
        </w:tc>
        <w:tc>
          <w:tcPr>
            <w:tcW w:w="959" w:type="dxa"/>
            <w:vAlign w:val="top"/>
          </w:tcPr>
          <w:p w14:paraId="620EE4FB">
            <w:pPr>
              <w:pStyle w:val="27"/>
            </w:pPr>
          </w:p>
        </w:tc>
        <w:tc>
          <w:tcPr>
            <w:tcW w:w="1210" w:type="dxa"/>
            <w:vAlign w:val="top"/>
          </w:tcPr>
          <w:p w14:paraId="3EC02C5A">
            <w:pPr>
              <w:pStyle w:val="27"/>
            </w:pPr>
          </w:p>
        </w:tc>
        <w:tc>
          <w:tcPr>
            <w:tcW w:w="921" w:type="dxa"/>
            <w:tcBorders>
              <w:right w:val="single" w:color="000000" w:sz="14" w:space="0"/>
            </w:tcBorders>
            <w:vAlign w:val="top"/>
          </w:tcPr>
          <w:p w14:paraId="36B7A517">
            <w:pPr>
              <w:pStyle w:val="27"/>
            </w:pPr>
          </w:p>
        </w:tc>
      </w:tr>
      <w:tr w14:paraId="5C0310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293E6AFB">
            <w:pPr>
              <w:spacing w:before="93" w:line="227" w:lineRule="auto"/>
              <w:ind w:left="272"/>
              <w:rPr>
                <w:rFonts w:ascii="宋体" w:hAnsi="宋体" w:eastAsia="宋体" w:cs="宋体"/>
                <w:sz w:val="18"/>
                <w:szCs w:val="18"/>
              </w:rPr>
            </w:pPr>
            <w:r>
              <w:rPr>
                <w:rFonts w:ascii="宋体" w:hAnsi="宋体" w:eastAsia="宋体" w:cs="宋体"/>
                <w:sz w:val="18"/>
                <w:szCs w:val="18"/>
              </w:rPr>
              <w:t>5</w:t>
            </w:r>
          </w:p>
        </w:tc>
        <w:tc>
          <w:tcPr>
            <w:tcW w:w="1383" w:type="dxa"/>
            <w:vAlign w:val="top"/>
          </w:tcPr>
          <w:p w14:paraId="40258BE3">
            <w:pPr>
              <w:spacing w:before="93" w:line="227" w:lineRule="auto"/>
              <w:ind w:left="26"/>
              <w:rPr>
                <w:rFonts w:ascii="宋体" w:hAnsi="宋体" w:eastAsia="宋体" w:cs="宋体"/>
                <w:sz w:val="18"/>
                <w:szCs w:val="18"/>
              </w:rPr>
            </w:pPr>
            <w:r>
              <w:rPr>
                <w:rFonts w:ascii="宋体" w:hAnsi="宋体" w:eastAsia="宋体" w:cs="宋体"/>
                <w:sz w:val="18"/>
                <w:szCs w:val="18"/>
              </w:rPr>
              <w:t>041109004001</w:t>
            </w:r>
          </w:p>
        </w:tc>
        <w:tc>
          <w:tcPr>
            <w:tcW w:w="1823" w:type="dxa"/>
            <w:vAlign w:val="top"/>
          </w:tcPr>
          <w:p w14:paraId="760FF095">
            <w:pPr>
              <w:spacing w:before="94" w:line="219" w:lineRule="auto"/>
              <w:ind w:left="33"/>
              <w:rPr>
                <w:rFonts w:ascii="宋体" w:hAnsi="宋体" w:eastAsia="宋体" w:cs="宋体"/>
                <w:sz w:val="18"/>
                <w:szCs w:val="18"/>
              </w:rPr>
            </w:pPr>
            <w:r>
              <w:rPr>
                <w:rFonts w:ascii="宋体" w:hAnsi="宋体" w:eastAsia="宋体" w:cs="宋体"/>
                <w:spacing w:val="-3"/>
                <w:sz w:val="18"/>
                <w:szCs w:val="18"/>
              </w:rPr>
              <w:t>冬雨季施工</w:t>
            </w:r>
          </w:p>
        </w:tc>
        <w:tc>
          <w:tcPr>
            <w:tcW w:w="1210" w:type="dxa"/>
            <w:vAlign w:val="top"/>
          </w:tcPr>
          <w:p w14:paraId="498BAF77">
            <w:pPr>
              <w:pStyle w:val="27"/>
            </w:pPr>
          </w:p>
        </w:tc>
        <w:tc>
          <w:tcPr>
            <w:tcW w:w="959" w:type="dxa"/>
            <w:vAlign w:val="top"/>
          </w:tcPr>
          <w:p w14:paraId="603ED000">
            <w:pPr>
              <w:pStyle w:val="27"/>
            </w:pPr>
          </w:p>
        </w:tc>
        <w:tc>
          <w:tcPr>
            <w:tcW w:w="1210" w:type="dxa"/>
            <w:vAlign w:val="top"/>
          </w:tcPr>
          <w:p w14:paraId="4942BE4F">
            <w:pPr>
              <w:pStyle w:val="27"/>
            </w:pPr>
          </w:p>
        </w:tc>
        <w:tc>
          <w:tcPr>
            <w:tcW w:w="959" w:type="dxa"/>
            <w:vAlign w:val="top"/>
          </w:tcPr>
          <w:p w14:paraId="6EFC8758">
            <w:pPr>
              <w:pStyle w:val="27"/>
            </w:pPr>
          </w:p>
        </w:tc>
        <w:tc>
          <w:tcPr>
            <w:tcW w:w="1210" w:type="dxa"/>
            <w:vAlign w:val="top"/>
          </w:tcPr>
          <w:p w14:paraId="6AE56211">
            <w:pPr>
              <w:pStyle w:val="27"/>
            </w:pPr>
          </w:p>
        </w:tc>
        <w:tc>
          <w:tcPr>
            <w:tcW w:w="921" w:type="dxa"/>
            <w:tcBorders>
              <w:right w:val="single" w:color="000000" w:sz="14" w:space="0"/>
            </w:tcBorders>
            <w:vAlign w:val="top"/>
          </w:tcPr>
          <w:p w14:paraId="6AC64F1A">
            <w:pPr>
              <w:pStyle w:val="27"/>
            </w:pPr>
          </w:p>
        </w:tc>
      </w:tr>
      <w:tr w14:paraId="5C13A2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3" w:hRule="atLeast"/>
        </w:trPr>
        <w:tc>
          <w:tcPr>
            <w:tcW w:w="641" w:type="dxa"/>
            <w:tcBorders>
              <w:left w:val="single" w:color="000000" w:sz="14" w:space="0"/>
            </w:tcBorders>
            <w:vAlign w:val="top"/>
          </w:tcPr>
          <w:p w14:paraId="2E7A87B3">
            <w:pPr>
              <w:pStyle w:val="27"/>
              <w:spacing w:line="250" w:lineRule="auto"/>
            </w:pPr>
          </w:p>
          <w:p w14:paraId="65992459">
            <w:pPr>
              <w:spacing w:before="59"/>
              <w:ind w:left="270"/>
              <w:rPr>
                <w:rFonts w:ascii="宋体" w:hAnsi="宋体" w:eastAsia="宋体" w:cs="宋体"/>
                <w:sz w:val="18"/>
                <w:szCs w:val="18"/>
              </w:rPr>
            </w:pPr>
            <w:r>
              <w:rPr>
                <w:rFonts w:ascii="宋体" w:hAnsi="宋体" w:eastAsia="宋体" w:cs="宋体"/>
                <w:sz w:val="18"/>
                <w:szCs w:val="18"/>
              </w:rPr>
              <w:t>6</w:t>
            </w:r>
          </w:p>
        </w:tc>
        <w:tc>
          <w:tcPr>
            <w:tcW w:w="1383" w:type="dxa"/>
            <w:vAlign w:val="top"/>
          </w:tcPr>
          <w:p w14:paraId="0C27DBA9">
            <w:pPr>
              <w:pStyle w:val="27"/>
              <w:spacing w:line="250" w:lineRule="auto"/>
            </w:pPr>
          </w:p>
          <w:p w14:paraId="5D359A29">
            <w:pPr>
              <w:spacing w:before="59"/>
              <w:ind w:left="26"/>
              <w:rPr>
                <w:rFonts w:ascii="宋体" w:hAnsi="宋体" w:eastAsia="宋体" w:cs="宋体"/>
                <w:sz w:val="18"/>
                <w:szCs w:val="18"/>
              </w:rPr>
            </w:pPr>
            <w:r>
              <w:rPr>
                <w:rFonts w:ascii="宋体" w:hAnsi="宋体" w:eastAsia="宋体" w:cs="宋体"/>
                <w:sz w:val="18"/>
                <w:szCs w:val="18"/>
              </w:rPr>
              <w:t>041109006001</w:t>
            </w:r>
          </w:p>
        </w:tc>
        <w:tc>
          <w:tcPr>
            <w:tcW w:w="1823" w:type="dxa"/>
            <w:vAlign w:val="top"/>
          </w:tcPr>
          <w:p w14:paraId="01DBBA92">
            <w:pPr>
              <w:spacing w:before="197" w:line="231" w:lineRule="auto"/>
              <w:ind w:left="30" w:right="165" w:hanging="1"/>
              <w:rPr>
                <w:rFonts w:ascii="宋体" w:hAnsi="宋体" w:eastAsia="宋体" w:cs="宋体"/>
                <w:sz w:val="18"/>
                <w:szCs w:val="18"/>
              </w:rPr>
            </w:pPr>
            <w:r>
              <w:rPr>
                <w:rFonts w:ascii="宋体" w:hAnsi="宋体" w:eastAsia="宋体" w:cs="宋体"/>
                <w:spacing w:val="-1"/>
                <w:sz w:val="18"/>
                <w:szCs w:val="18"/>
              </w:rPr>
              <w:t>地上、地下设施、建筑物的临时保护设施</w:t>
            </w:r>
          </w:p>
        </w:tc>
        <w:tc>
          <w:tcPr>
            <w:tcW w:w="1210" w:type="dxa"/>
            <w:vAlign w:val="top"/>
          </w:tcPr>
          <w:p w14:paraId="3F43107D">
            <w:pPr>
              <w:pStyle w:val="27"/>
            </w:pPr>
          </w:p>
        </w:tc>
        <w:tc>
          <w:tcPr>
            <w:tcW w:w="959" w:type="dxa"/>
            <w:vAlign w:val="top"/>
          </w:tcPr>
          <w:p w14:paraId="0DFE4DC4">
            <w:pPr>
              <w:pStyle w:val="27"/>
            </w:pPr>
          </w:p>
        </w:tc>
        <w:tc>
          <w:tcPr>
            <w:tcW w:w="1210" w:type="dxa"/>
            <w:vAlign w:val="top"/>
          </w:tcPr>
          <w:p w14:paraId="5674A241">
            <w:pPr>
              <w:pStyle w:val="27"/>
            </w:pPr>
          </w:p>
        </w:tc>
        <w:tc>
          <w:tcPr>
            <w:tcW w:w="959" w:type="dxa"/>
            <w:vAlign w:val="top"/>
          </w:tcPr>
          <w:p w14:paraId="7A4F0535">
            <w:pPr>
              <w:pStyle w:val="27"/>
            </w:pPr>
          </w:p>
        </w:tc>
        <w:tc>
          <w:tcPr>
            <w:tcW w:w="1210" w:type="dxa"/>
            <w:vAlign w:val="top"/>
          </w:tcPr>
          <w:p w14:paraId="324235BF">
            <w:pPr>
              <w:pStyle w:val="27"/>
            </w:pPr>
          </w:p>
        </w:tc>
        <w:tc>
          <w:tcPr>
            <w:tcW w:w="921" w:type="dxa"/>
            <w:tcBorders>
              <w:right w:val="single" w:color="000000" w:sz="14" w:space="0"/>
            </w:tcBorders>
            <w:vAlign w:val="top"/>
          </w:tcPr>
          <w:p w14:paraId="46379B6F">
            <w:pPr>
              <w:pStyle w:val="27"/>
            </w:pPr>
          </w:p>
        </w:tc>
      </w:tr>
      <w:tr w14:paraId="40A6E3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641" w:type="dxa"/>
            <w:tcBorders>
              <w:left w:val="single" w:color="000000" w:sz="14" w:space="0"/>
            </w:tcBorders>
            <w:vAlign w:val="top"/>
          </w:tcPr>
          <w:p w14:paraId="200E80CD">
            <w:pPr>
              <w:spacing w:before="194"/>
              <w:ind w:left="273"/>
              <w:rPr>
                <w:rFonts w:ascii="宋体" w:hAnsi="宋体" w:eastAsia="宋体" w:cs="宋体"/>
                <w:sz w:val="18"/>
                <w:szCs w:val="18"/>
              </w:rPr>
            </w:pPr>
            <w:r>
              <w:rPr>
                <w:rFonts w:ascii="宋体" w:hAnsi="宋体" w:eastAsia="宋体" w:cs="宋体"/>
                <w:sz w:val="18"/>
                <w:szCs w:val="18"/>
              </w:rPr>
              <w:t>7</w:t>
            </w:r>
          </w:p>
        </w:tc>
        <w:tc>
          <w:tcPr>
            <w:tcW w:w="1383" w:type="dxa"/>
            <w:vAlign w:val="top"/>
          </w:tcPr>
          <w:p w14:paraId="48A733EE">
            <w:pPr>
              <w:spacing w:before="194"/>
              <w:ind w:left="26"/>
              <w:rPr>
                <w:rFonts w:ascii="宋体" w:hAnsi="宋体" w:eastAsia="宋体" w:cs="宋体"/>
                <w:sz w:val="18"/>
                <w:szCs w:val="18"/>
              </w:rPr>
            </w:pPr>
            <w:r>
              <w:rPr>
                <w:rFonts w:ascii="宋体" w:hAnsi="宋体" w:eastAsia="宋体" w:cs="宋体"/>
                <w:sz w:val="18"/>
                <w:szCs w:val="18"/>
              </w:rPr>
              <w:t>041109007001</w:t>
            </w:r>
          </w:p>
        </w:tc>
        <w:tc>
          <w:tcPr>
            <w:tcW w:w="1823" w:type="dxa"/>
            <w:vAlign w:val="top"/>
          </w:tcPr>
          <w:p w14:paraId="38B0EC7C">
            <w:pPr>
              <w:spacing w:before="85" w:line="220" w:lineRule="auto"/>
              <w:ind w:left="39" w:right="165" w:firstLine="9"/>
              <w:rPr>
                <w:rFonts w:ascii="宋体" w:hAnsi="宋体" w:eastAsia="宋体" w:cs="宋体"/>
                <w:sz w:val="18"/>
                <w:szCs w:val="18"/>
              </w:rPr>
            </w:pPr>
            <w:r>
              <w:rPr>
                <w:rFonts w:ascii="宋体" w:hAnsi="宋体" w:eastAsia="宋体" w:cs="宋体"/>
                <w:spacing w:val="-3"/>
                <w:sz w:val="18"/>
                <w:szCs w:val="18"/>
              </w:rPr>
              <w:t>已完工程及设备保护</w:t>
            </w:r>
            <w:r>
              <w:rPr>
                <w:rFonts w:ascii="宋体" w:hAnsi="宋体" w:eastAsia="宋体" w:cs="宋体"/>
                <w:sz w:val="18"/>
                <w:szCs w:val="18"/>
              </w:rPr>
              <w:t>费</w:t>
            </w:r>
          </w:p>
        </w:tc>
        <w:tc>
          <w:tcPr>
            <w:tcW w:w="1210" w:type="dxa"/>
            <w:vAlign w:val="top"/>
          </w:tcPr>
          <w:p w14:paraId="1D8CA5D3">
            <w:pPr>
              <w:pStyle w:val="27"/>
            </w:pPr>
          </w:p>
        </w:tc>
        <w:tc>
          <w:tcPr>
            <w:tcW w:w="959" w:type="dxa"/>
            <w:vAlign w:val="top"/>
          </w:tcPr>
          <w:p w14:paraId="51163650">
            <w:pPr>
              <w:pStyle w:val="27"/>
            </w:pPr>
          </w:p>
        </w:tc>
        <w:tc>
          <w:tcPr>
            <w:tcW w:w="1210" w:type="dxa"/>
            <w:vAlign w:val="top"/>
          </w:tcPr>
          <w:p w14:paraId="0969EC5F">
            <w:pPr>
              <w:pStyle w:val="27"/>
            </w:pPr>
          </w:p>
        </w:tc>
        <w:tc>
          <w:tcPr>
            <w:tcW w:w="959" w:type="dxa"/>
            <w:vAlign w:val="top"/>
          </w:tcPr>
          <w:p w14:paraId="18CB4062">
            <w:pPr>
              <w:pStyle w:val="27"/>
            </w:pPr>
          </w:p>
        </w:tc>
        <w:tc>
          <w:tcPr>
            <w:tcW w:w="1210" w:type="dxa"/>
            <w:vAlign w:val="top"/>
          </w:tcPr>
          <w:p w14:paraId="70F8B9CB">
            <w:pPr>
              <w:pStyle w:val="27"/>
            </w:pPr>
          </w:p>
        </w:tc>
        <w:tc>
          <w:tcPr>
            <w:tcW w:w="921" w:type="dxa"/>
            <w:tcBorders>
              <w:right w:val="single" w:color="000000" w:sz="14" w:space="0"/>
            </w:tcBorders>
            <w:vAlign w:val="top"/>
          </w:tcPr>
          <w:p w14:paraId="234DB010">
            <w:pPr>
              <w:pStyle w:val="27"/>
            </w:pPr>
          </w:p>
        </w:tc>
      </w:tr>
      <w:tr w14:paraId="029958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1E7D9991">
            <w:pPr>
              <w:spacing w:before="97" w:line="223" w:lineRule="auto"/>
              <w:ind w:left="269"/>
              <w:rPr>
                <w:rFonts w:ascii="宋体" w:hAnsi="宋体" w:eastAsia="宋体" w:cs="宋体"/>
                <w:sz w:val="18"/>
                <w:szCs w:val="18"/>
              </w:rPr>
            </w:pPr>
            <w:r>
              <w:rPr>
                <w:rFonts w:ascii="宋体" w:hAnsi="宋体" w:eastAsia="宋体" w:cs="宋体"/>
                <w:sz w:val="18"/>
                <w:szCs w:val="18"/>
              </w:rPr>
              <w:t>8</w:t>
            </w:r>
          </w:p>
        </w:tc>
        <w:tc>
          <w:tcPr>
            <w:tcW w:w="1383" w:type="dxa"/>
            <w:vAlign w:val="top"/>
          </w:tcPr>
          <w:p w14:paraId="565414C8">
            <w:pPr>
              <w:spacing w:before="97" w:line="223" w:lineRule="auto"/>
              <w:ind w:left="26"/>
              <w:rPr>
                <w:rFonts w:ascii="宋体" w:hAnsi="宋体" w:eastAsia="宋体" w:cs="宋体"/>
                <w:sz w:val="18"/>
                <w:szCs w:val="18"/>
              </w:rPr>
            </w:pPr>
            <w:r>
              <w:rPr>
                <w:rFonts w:ascii="宋体" w:hAnsi="宋体" w:eastAsia="宋体" w:cs="宋体"/>
                <w:sz w:val="18"/>
                <w:szCs w:val="18"/>
              </w:rPr>
              <w:t>041109008001</w:t>
            </w:r>
          </w:p>
        </w:tc>
        <w:tc>
          <w:tcPr>
            <w:tcW w:w="1823" w:type="dxa"/>
            <w:vAlign w:val="top"/>
          </w:tcPr>
          <w:p w14:paraId="7FE1C5E2">
            <w:pPr>
              <w:spacing w:before="98" w:line="219" w:lineRule="auto"/>
              <w:ind w:left="39"/>
              <w:rPr>
                <w:rFonts w:ascii="宋体" w:hAnsi="宋体" w:eastAsia="宋体" w:cs="宋体"/>
                <w:sz w:val="18"/>
                <w:szCs w:val="18"/>
              </w:rPr>
            </w:pPr>
            <w:r>
              <w:rPr>
                <w:rFonts w:ascii="宋体" w:hAnsi="宋体" w:eastAsia="宋体" w:cs="宋体"/>
                <w:spacing w:val="-4"/>
                <w:sz w:val="18"/>
                <w:szCs w:val="18"/>
              </w:rPr>
              <w:t>临时设施费</w:t>
            </w:r>
          </w:p>
        </w:tc>
        <w:tc>
          <w:tcPr>
            <w:tcW w:w="1210" w:type="dxa"/>
            <w:vAlign w:val="top"/>
          </w:tcPr>
          <w:p w14:paraId="723DF414">
            <w:pPr>
              <w:pStyle w:val="27"/>
            </w:pPr>
          </w:p>
        </w:tc>
        <w:tc>
          <w:tcPr>
            <w:tcW w:w="959" w:type="dxa"/>
            <w:vAlign w:val="top"/>
          </w:tcPr>
          <w:p w14:paraId="1C3DD4EF">
            <w:pPr>
              <w:pStyle w:val="27"/>
            </w:pPr>
          </w:p>
        </w:tc>
        <w:tc>
          <w:tcPr>
            <w:tcW w:w="1210" w:type="dxa"/>
            <w:vAlign w:val="top"/>
          </w:tcPr>
          <w:p w14:paraId="32714F02">
            <w:pPr>
              <w:pStyle w:val="27"/>
            </w:pPr>
          </w:p>
        </w:tc>
        <w:tc>
          <w:tcPr>
            <w:tcW w:w="959" w:type="dxa"/>
            <w:vAlign w:val="top"/>
          </w:tcPr>
          <w:p w14:paraId="57B59962">
            <w:pPr>
              <w:pStyle w:val="27"/>
            </w:pPr>
          </w:p>
        </w:tc>
        <w:tc>
          <w:tcPr>
            <w:tcW w:w="1210" w:type="dxa"/>
            <w:vAlign w:val="top"/>
          </w:tcPr>
          <w:p w14:paraId="109FF36C">
            <w:pPr>
              <w:pStyle w:val="27"/>
            </w:pPr>
          </w:p>
        </w:tc>
        <w:tc>
          <w:tcPr>
            <w:tcW w:w="921" w:type="dxa"/>
            <w:tcBorders>
              <w:right w:val="single" w:color="000000" w:sz="14" w:space="0"/>
            </w:tcBorders>
            <w:vAlign w:val="top"/>
          </w:tcPr>
          <w:p w14:paraId="7B5AE028">
            <w:pPr>
              <w:pStyle w:val="27"/>
            </w:pPr>
          </w:p>
        </w:tc>
      </w:tr>
      <w:tr w14:paraId="79A2F2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56E7E912">
            <w:pPr>
              <w:spacing w:before="98" w:line="222" w:lineRule="auto"/>
              <w:ind w:left="269"/>
              <w:rPr>
                <w:rFonts w:ascii="宋体" w:hAnsi="宋体" w:eastAsia="宋体" w:cs="宋体"/>
                <w:sz w:val="18"/>
                <w:szCs w:val="18"/>
              </w:rPr>
            </w:pPr>
            <w:r>
              <w:rPr>
                <w:rFonts w:ascii="宋体" w:hAnsi="宋体" w:eastAsia="宋体" w:cs="宋体"/>
                <w:sz w:val="18"/>
                <w:szCs w:val="18"/>
              </w:rPr>
              <w:t>9</w:t>
            </w:r>
          </w:p>
        </w:tc>
        <w:tc>
          <w:tcPr>
            <w:tcW w:w="1383" w:type="dxa"/>
            <w:vAlign w:val="top"/>
          </w:tcPr>
          <w:p w14:paraId="250CDE09">
            <w:pPr>
              <w:spacing w:before="98" w:line="222" w:lineRule="auto"/>
              <w:ind w:left="26"/>
              <w:rPr>
                <w:rFonts w:ascii="宋体" w:hAnsi="宋体" w:eastAsia="宋体" w:cs="宋体"/>
                <w:sz w:val="18"/>
                <w:szCs w:val="18"/>
              </w:rPr>
            </w:pPr>
            <w:r>
              <w:rPr>
                <w:rFonts w:ascii="宋体" w:hAnsi="宋体" w:eastAsia="宋体" w:cs="宋体"/>
                <w:sz w:val="18"/>
                <w:szCs w:val="18"/>
              </w:rPr>
              <w:t>041109009001</w:t>
            </w:r>
          </w:p>
        </w:tc>
        <w:tc>
          <w:tcPr>
            <w:tcW w:w="1823" w:type="dxa"/>
            <w:vAlign w:val="top"/>
          </w:tcPr>
          <w:p w14:paraId="0E98EA2A">
            <w:pPr>
              <w:spacing w:before="98" w:line="220" w:lineRule="auto"/>
              <w:ind w:left="28"/>
              <w:rPr>
                <w:rFonts w:ascii="宋体" w:hAnsi="宋体" w:eastAsia="宋体" w:cs="宋体"/>
                <w:sz w:val="18"/>
                <w:szCs w:val="18"/>
              </w:rPr>
            </w:pPr>
            <w:r>
              <w:rPr>
                <w:rFonts w:ascii="宋体" w:hAnsi="宋体" w:eastAsia="宋体" w:cs="宋体"/>
                <w:spacing w:val="-2"/>
                <w:sz w:val="18"/>
                <w:szCs w:val="18"/>
              </w:rPr>
              <w:t>赶工措施费</w:t>
            </w:r>
          </w:p>
        </w:tc>
        <w:tc>
          <w:tcPr>
            <w:tcW w:w="1210" w:type="dxa"/>
            <w:vAlign w:val="top"/>
          </w:tcPr>
          <w:p w14:paraId="1394C75C">
            <w:pPr>
              <w:pStyle w:val="27"/>
            </w:pPr>
          </w:p>
        </w:tc>
        <w:tc>
          <w:tcPr>
            <w:tcW w:w="959" w:type="dxa"/>
            <w:vAlign w:val="top"/>
          </w:tcPr>
          <w:p w14:paraId="6D96BBE4">
            <w:pPr>
              <w:pStyle w:val="27"/>
            </w:pPr>
          </w:p>
        </w:tc>
        <w:tc>
          <w:tcPr>
            <w:tcW w:w="1210" w:type="dxa"/>
            <w:vAlign w:val="top"/>
          </w:tcPr>
          <w:p w14:paraId="2B17407A">
            <w:pPr>
              <w:pStyle w:val="27"/>
            </w:pPr>
          </w:p>
        </w:tc>
        <w:tc>
          <w:tcPr>
            <w:tcW w:w="959" w:type="dxa"/>
            <w:vAlign w:val="top"/>
          </w:tcPr>
          <w:p w14:paraId="2D848D8C">
            <w:pPr>
              <w:pStyle w:val="27"/>
            </w:pPr>
          </w:p>
        </w:tc>
        <w:tc>
          <w:tcPr>
            <w:tcW w:w="1210" w:type="dxa"/>
            <w:vAlign w:val="top"/>
          </w:tcPr>
          <w:p w14:paraId="2CFE38CF">
            <w:pPr>
              <w:pStyle w:val="27"/>
            </w:pPr>
          </w:p>
        </w:tc>
        <w:tc>
          <w:tcPr>
            <w:tcW w:w="921" w:type="dxa"/>
            <w:tcBorders>
              <w:right w:val="single" w:color="000000" w:sz="14" w:space="0"/>
            </w:tcBorders>
            <w:vAlign w:val="top"/>
          </w:tcPr>
          <w:p w14:paraId="7A2F13D5">
            <w:pPr>
              <w:pStyle w:val="27"/>
            </w:pPr>
          </w:p>
        </w:tc>
      </w:tr>
      <w:tr w14:paraId="4442F5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641" w:type="dxa"/>
            <w:tcBorders>
              <w:left w:val="single" w:color="000000" w:sz="14" w:space="0"/>
            </w:tcBorders>
            <w:vAlign w:val="top"/>
          </w:tcPr>
          <w:p w14:paraId="305586C4">
            <w:pPr>
              <w:spacing w:before="197"/>
              <w:ind w:left="239"/>
              <w:rPr>
                <w:rFonts w:ascii="宋体" w:hAnsi="宋体" w:eastAsia="宋体" w:cs="宋体"/>
                <w:sz w:val="18"/>
                <w:szCs w:val="18"/>
              </w:rPr>
            </w:pPr>
            <w:r>
              <w:rPr>
                <w:rFonts w:ascii="宋体" w:hAnsi="宋体" w:eastAsia="宋体" w:cs="宋体"/>
                <w:spacing w:val="-10"/>
                <w:sz w:val="18"/>
                <w:szCs w:val="18"/>
              </w:rPr>
              <w:t>10</w:t>
            </w:r>
          </w:p>
        </w:tc>
        <w:tc>
          <w:tcPr>
            <w:tcW w:w="1383" w:type="dxa"/>
            <w:vAlign w:val="top"/>
          </w:tcPr>
          <w:p w14:paraId="02E26E3A">
            <w:pPr>
              <w:spacing w:before="197"/>
              <w:ind w:left="26"/>
              <w:rPr>
                <w:rFonts w:ascii="宋体" w:hAnsi="宋体" w:eastAsia="宋体" w:cs="宋体"/>
                <w:sz w:val="18"/>
                <w:szCs w:val="18"/>
              </w:rPr>
            </w:pPr>
            <w:r>
              <w:rPr>
                <w:rFonts w:ascii="宋体" w:hAnsi="宋体" w:eastAsia="宋体" w:cs="宋体"/>
                <w:spacing w:val="-1"/>
                <w:sz w:val="18"/>
                <w:szCs w:val="18"/>
              </w:rPr>
              <w:t>04B001</w:t>
            </w:r>
          </w:p>
        </w:tc>
        <w:tc>
          <w:tcPr>
            <w:tcW w:w="1823" w:type="dxa"/>
            <w:vAlign w:val="top"/>
          </w:tcPr>
          <w:p w14:paraId="04691D69">
            <w:pPr>
              <w:spacing w:before="86" w:line="219" w:lineRule="auto"/>
              <w:ind w:left="38" w:right="165" w:hanging="9"/>
              <w:rPr>
                <w:rFonts w:ascii="宋体" w:hAnsi="宋体" w:eastAsia="宋体" w:cs="宋体"/>
                <w:sz w:val="18"/>
                <w:szCs w:val="18"/>
              </w:rPr>
            </w:pPr>
            <w:r>
              <w:rPr>
                <w:rFonts w:ascii="宋体" w:hAnsi="宋体" w:eastAsia="宋体" w:cs="宋体"/>
                <w:spacing w:val="-1"/>
                <w:sz w:val="18"/>
                <w:szCs w:val="18"/>
              </w:rPr>
              <w:t>特殊条件下施工增加</w:t>
            </w:r>
            <w:r>
              <w:rPr>
                <w:rFonts w:ascii="宋体" w:hAnsi="宋体" w:eastAsia="宋体" w:cs="宋体"/>
                <w:sz w:val="18"/>
                <w:szCs w:val="18"/>
              </w:rPr>
              <w:t>费</w:t>
            </w:r>
          </w:p>
        </w:tc>
        <w:tc>
          <w:tcPr>
            <w:tcW w:w="1210" w:type="dxa"/>
            <w:vAlign w:val="top"/>
          </w:tcPr>
          <w:p w14:paraId="3AF768E8">
            <w:pPr>
              <w:pStyle w:val="27"/>
            </w:pPr>
          </w:p>
        </w:tc>
        <w:tc>
          <w:tcPr>
            <w:tcW w:w="959" w:type="dxa"/>
            <w:vAlign w:val="top"/>
          </w:tcPr>
          <w:p w14:paraId="35D150A1">
            <w:pPr>
              <w:pStyle w:val="27"/>
            </w:pPr>
          </w:p>
        </w:tc>
        <w:tc>
          <w:tcPr>
            <w:tcW w:w="1210" w:type="dxa"/>
            <w:vAlign w:val="top"/>
          </w:tcPr>
          <w:p w14:paraId="7FDE5BF5">
            <w:pPr>
              <w:pStyle w:val="27"/>
            </w:pPr>
          </w:p>
        </w:tc>
        <w:tc>
          <w:tcPr>
            <w:tcW w:w="959" w:type="dxa"/>
            <w:vAlign w:val="top"/>
          </w:tcPr>
          <w:p w14:paraId="26691621">
            <w:pPr>
              <w:pStyle w:val="27"/>
            </w:pPr>
          </w:p>
        </w:tc>
        <w:tc>
          <w:tcPr>
            <w:tcW w:w="1210" w:type="dxa"/>
            <w:vAlign w:val="top"/>
          </w:tcPr>
          <w:p w14:paraId="7C7D23E9">
            <w:pPr>
              <w:pStyle w:val="27"/>
            </w:pPr>
          </w:p>
        </w:tc>
        <w:tc>
          <w:tcPr>
            <w:tcW w:w="921" w:type="dxa"/>
            <w:tcBorders>
              <w:right w:val="single" w:color="000000" w:sz="14" w:space="0"/>
            </w:tcBorders>
            <w:vAlign w:val="top"/>
          </w:tcPr>
          <w:p w14:paraId="2465AA0E">
            <w:pPr>
              <w:pStyle w:val="27"/>
            </w:pPr>
          </w:p>
        </w:tc>
      </w:tr>
      <w:tr w14:paraId="107645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16C1F66C">
            <w:pPr>
              <w:spacing w:before="100" w:line="220" w:lineRule="auto"/>
              <w:ind w:left="239"/>
              <w:rPr>
                <w:rFonts w:ascii="宋体" w:hAnsi="宋体" w:eastAsia="宋体" w:cs="宋体"/>
                <w:sz w:val="18"/>
                <w:szCs w:val="18"/>
              </w:rPr>
            </w:pPr>
            <w:r>
              <w:rPr>
                <w:rFonts w:ascii="宋体" w:hAnsi="宋体" w:eastAsia="宋体" w:cs="宋体"/>
                <w:spacing w:val="-10"/>
                <w:sz w:val="18"/>
                <w:szCs w:val="18"/>
              </w:rPr>
              <w:t>11</w:t>
            </w:r>
          </w:p>
        </w:tc>
        <w:tc>
          <w:tcPr>
            <w:tcW w:w="1383" w:type="dxa"/>
            <w:vAlign w:val="top"/>
          </w:tcPr>
          <w:p w14:paraId="2351A490">
            <w:pPr>
              <w:spacing w:before="100" w:line="220" w:lineRule="auto"/>
              <w:ind w:left="26"/>
              <w:rPr>
                <w:rFonts w:ascii="宋体" w:hAnsi="宋体" w:eastAsia="宋体" w:cs="宋体"/>
                <w:sz w:val="18"/>
                <w:szCs w:val="18"/>
              </w:rPr>
            </w:pPr>
            <w:r>
              <w:rPr>
                <w:rFonts w:ascii="宋体" w:hAnsi="宋体" w:eastAsia="宋体" w:cs="宋体"/>
                <w:sz w:val="18"/>
                <w:szCs w:val="18"/>
              </w:rPr>
              <w:t>041109005001</w:t>
            </w:r>
          </w:p>
        </w:tc>
        <w:tc>
          <w:tcPr>
            <w:tcW w:w="1823" w:type="dxa"/>
            <w:vAlign w:val="top"/>
          </w:tcPr>
          <w:p w14:paraId="32FBF439">
            <w:pPr>
              <w:spacing w:before="100" w:line="219" w:lineRule="auto"/>
              <w:ind w:left="32"/>
              <w:rPr>
                <w:rFonts w:ascii="宋体" w:hAnsi="宋体" w:eastAsia="宋体" w:cs="宋体"/>
                <w:sz w:val="18"/>
                <w:szCs w:val="18"/>
              </w:rPr>
            </w:pPr>
            <w:r>
              <w:rPr>
                <w:rFonts w:ascii="宋体" w:hAnsi="宋体" w:eastAsia="宋体" w:cs="宋体"/>
                <w:spacing w:val="-2"/>
                <w:sz w:val="18"/>
                <w:szCs w:val="18"/>
              </w:rPr>
              <w:t>行车、行人干扰</w:t>
            </w:r>
          </w:p>
        </w:tc>
        <w:tc>
          <w:tcPr>
            <w:tcW w:w="1210" w:type="dxa"/>
            <w:vAlign w:val="top"/>
          </w:tcPr>
          <w:p w14:paraId="3E9A668D">
            <w:pPr>
              <w:pStyle w:val="27"/>
            </w:pPr>
          </w:p>
        </w:tc>
        <w:tc>
          <w:tcPr>
            <w:tcW w:w="959" w:type="dxa"/>
            <w:vAlign w:val="top"/>
          </w:tcPr>
          <w:p w14:paraId="2B675D9C">
            <w:pPr>
              <w:pStyle w:val="27"/>
            </w:pPr>
          </w:p>
        </w:tc>
        <w:tc>
          <w:tcPr>
            <w:tcW w:w="1210" w:type="dxa"/>
            <w:vAlign w:val="top"/>
          </w:tcPr>
          <w:p w14:paraId="58AA0C0B">
            <w:pPr>
              <w:pStyle w:val="27"/>
            </w:pPr>
          </w:p>
        </w:tc>
        <w:tc>
          <w:tcPr>
            <w:tcW w:w="959" w:type="dxa"/>
            <w:vAlign w:val="top"/>
          </w:tcPr>
          <w:p w14:paraId="5E90BD2E">
            <w:pPr>
              <w:pStyle w:val="27"/>
            </w:pPr>
          </w:p>
        </w:tc>
        <w:tc>
          <w:tcPr>
            <w:tcW w:w="1210" w:type="dxa"/>
            <w:vAlign w:val="top"/>
          </w:tcPr>
          <w:p w14:paraId="3F334473">
            <w:pPr>
              <w:pStyle w:val="27"/>
            </w:pPr>
          </w:p>
        </w:tc>
        <w:tc>
          <w:tcPr>
            <w:tcW w:w="921" w:type="dxa"/>
            <w:tcBorders>
              <w:right w:val="single" w:color="000000" w:sz="14" w:space="0"/>
            </w:tcBorders>
            <w:vAlign w:val="top"/>
          </w:tcPr>
          <w:p w14:paraId="239E24DE">
            <w:pPr>
              <w:pStyle w:val="27"/>
            </w:pPr>
          </w:p>
        </w:tc>
      </w:tr>
      <w:tr w14:paraId="515DE4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641" w:type="dxa"/>
            <w:tcBorders>
              <w:left w:val="single" w:color="000000" w:sz="14" w:space="0"/>
            </w:tcBorders>
            <w:vAlign w:val="top"/>
          </w:tcPr>
          <w:p w14:paraId="22101247">
            <w:pPr>
              <w:spacing w:before="201" w:line="241" w:lineRule="auto"/>
              <w:ind w:left="239"/>
              <w:rPr>
                <w:rFonts w:ascii="宋体" w:hAnsi="宋体" w:eastAsia="宋体" w:cs="宋体"/>
                <w:sz w:val="18"/>
                <w:szCs w:val="18"/>
              </w:rPr>
            </w:pPr>
            <w:r>
              <w:rPr>
                <w:rFonts w:ascii="宋体" w:hAnsi="宋体" w:eastAsia="宋体" w:cs="宋体"/>
                <w:spacing w:val="-10"/>
                <w:sz w:val="18"/>
                <w:szCs w:val="18"/>
              </w:rPr>
              <w:t>12</w:t>
            </w:r>
          </w:p>
        </w:tc>
        <w:tc>
          <w:tcPr>
            <w:tcW w:w="1383" w:type="dxa"/>
            <w:vAlign w:val="top"/>
          </w:tcPr>
          <w:p w14:paraId="1CE82A57">
            <w:pPr>
              <w:spacing w:before="201"/>
              <w:ind w:left="26"/>
              <w:rPr>
                <w:rFonts w:ascii="宋体" w:hAnsi="宋体" w:eastAsia="宋体" w:cs="宋体"/>
                <w:sz w:val="18"/>
                <w:szCs w:val="18"/>
              </w:rPr>
            </w:pPr>
            <w:r>
              <w:rPr>
                <w:rFonts w:ascii="宋体" w:hAnsi="宋体" w:eastAsia="宋体" w:cs="宋体"/>
                <w:sz w:val="18"/>
                <w:szCs w:val="18"/>
              </w:rPr>
              <w:t>041109011001</w:t>
            </w:r>
          </w:p>
        </w:tc>
        <w:tc>
          <w:tcPr>
            <w:tcW w:w="1823" w:type="dxa"/>
            <w:vAlign w:val="top"/>
          </w:tcPr>
          <w:p w14:paraId="00B452D8">
            <w:pPr>
              <w:spacing w:before="201" w:line="220" w:lineRule="auto"/>
              <w:ind w:left="31"/>
              <w:rPr>
                <w:rFonts w:ascii="宋体" w:hAnsi="宋体" w:eastAsia="宋体" w:cs="宋体"/>
                <w:sz w:val="18"/>
                <w:szCs w:val="18"/>
              </w:rPr>
            </w:pPr>
            <w:r>
              <w:rPr>
                <w:rFonts w:ascii="宋体" w:hAnsi="宋体" w:eastAsia="宋体" w:cs="宋体"/>
                <w:spacing w:val="-2"/>
                <w:sz w:val="18"/>
                <w:szCs w:val="18"/>
              </w:rPr>
              <w:t>建筑工人实名制费用</w:t>
            </w:r>
          </w:p>
        </w:tc>
        <w:tc>
          <w:tcPr>
            <w:tcW w:w="1210" w:type="dxa"/>
            <w:vAlign w:val="top"/>
          </w:tcPr>
          <w:p w14:paraId="16909BCF">
            <w:pPr>
              <w:pStyle w:val="27"/>
            </w:pPr>
          </w:p>
        </w:tc>
        <w:tc>
          <w:tcPr>
            <w:tcW w:w="959" w:type="dxa"/>
            <w:vAlign w:val="top"/>
          </w:tcPr>
          <w:p w14:paraId="077662C0">
            <w:pPr>
              <w:pStyle w:val="27"/>
            </w:pPr>
          </w:p>
        </w:tc>
        <w:tc>
          <w:tcPr>
            <w:tcW w:w="1210" w:type="dxa"/>
            <w:vAlign w:val="top"/>
          </w:tcPr>
          <w:p w14:paraId="5204E08E">
            <w:pPr>
              <w:pStyle w:val="27"/>
            </w:pPr>
          </w:p>
        </w:tc>
        <w:tc>
          <w:tcPr>
            <w:tcW w:w="959" w:type="dxa"/>
            <w:vAlign w:val="top"/>
          </w:tcPr>
          <w:p w14:paraId="3EC2C569">
            <w:pPr>
              <w:pStyle w:val="27"/>
            </w:pPr>
          </w:p>
        </w:tc>
        <w:tc>
          <w:tcPr>
            <w:tcW w:w="1210" w:type="dxa"/>
            <w:vAlign w:val="top"/>
          </w:tcPr>
          <w:p w14:paraId="0F7BDA1B">
            <w:pPr>
              <w:pStyle w:val="27"/>
            </w:pPr>
          </w:p>
        </w:tc>
        <w:tc>
          <w:tcPr>
            <w:tcW w:w="921" w:type="dxa"/>
            <w:tcBorders>
              <w:right w:val="single" w:color="000000" w:sz="14" w:space="0"/>
            </w:tcBorders>
            <w:vAlign w:val="top"/>
          </w:tcPr>
          <w:p w14:paraId="45CA13A6">
            <w:pPr>
              <w:pStyle w:val="27"/>
            </w:pPr>
          </w:p>
        </w:tc>
      </w:tr>
      <w:tr w14:paraId="2E338D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10" w:hRule="atLeast"/>
        </w:trPr>
        <w:tc>
          <w:tcPr>
            <w:tcW w:w="641" w:type="dxa"/>
            <w:tcBorders>
              <w:left w:val="single" w:color="000000" w:sz="14" w:space="0"/>
            </w:tcBorders>
            <w:vAlign w:val="top"/>
          </w:tcPr>
          <w:p w14:paraId="3011089C">
            <w:pPr>
              <w:spacing w:before="94" w:line="211" w:lineRule="auto"/>
              <w:ind w:left="239"/>
              <w:rPr>
                <w:rFonts w:ascii="宋体" w:hAnsi="宋体" w:eastAsia="宋体" w:cs="宋体"/>
                <w:sz w:val="18"/>
                <w:szCs w:val="18"/>
              </w:rPr>
            </w:pPr>
            <w:r>
              <w:rPr>
                <w:rFonts w:ascii="宋体" w:hAnsi="宋体" w:eastAsia="宋体" w:cs="宋体"/>
                <w:spacing w:val="-10"/>
                <w:sz w:val="18"/>
                <w:szCs w:val="18"/>
              </w:rPr>
              <w:t>13</w:t>
            </w:r>
          </w:p>
        </w:tc>
        <w:tc>
          <w:tcPr>
            <w:tcW w:w="1383" w:type="dxa"/>
            <w:vAlign w:val="top"/>
          </w:tcPr>
          <w:p w14:paraId="28FDDCD7">
            <w:pPr>
              <w:spacing w:before="94" w:line="211" w:lineRule="auto"/>
              <w:ind w:left="26"/>
              <w:rPr>
                <w:rFonts w:ascii="宋体" w:hAnsi="宋体" w:eastAsia="宋体" w:cs="宋体"/>
                <w:sz w:val="18"/>
                <w:szCs w:val="18"/>
              </w:rPr>
            </w:pPr>
            <w:r>
              <w:rPr>
                <w:rFonts w:ascii="宋体" w:hAnsi="宋体" w:eastAsia="宋体" w:cs="宋体"/>
                <w:sz w:val="18"/>
                <w:szCs w:val="18"/>
              </w:rPr>
              <w:t>041109015001</w:t>
            </w:r>
          </w:p>
        </w:tc>
        <w:tc>
          <w:tcPr>
            <w:tcW w:w="1823" w:type="dxa"/>
            <w:vAlign w:val="top"/>
          </w:tcPr>
          <w:p w14:paraId="5D0C0DB7">
            <w:pPr>
              <w:spacing w:before="94" w:line="211" w:lineRule="auto"/>
              <w:ind w:left="33"/>
              <w:rPr>
                <w:rFonts w:ascii="宋体" w:hAnsi="宋体" w:eastAsia="宋体" w:cs="宋体"/>
                <w:sz w:val="18"/>
                <w:szCs w:val="18"/>
              </w:rPr>
            </w:pPr>
            <w:r>
              <w:rPr>
                <w:rFonts w:ascii="宋体" w:hAnsi="宋体" w:eastAsia="宋体" w:cs="宋体"/>
                <w:spacing w:val="-2"/>
                <w:sz w:val="18"/>
                <w:szCs w:val="18"/>
              </w:rPr>
              <w:t>智慧工地费用</w:t>
            </w:r>
          </w:p>
        </w:tc>
        <w:tc>
          <w:tcPr>
            <w:tcW w:w="1210" w:type="dxa"/>
            <w:vAlign w:val="top"/>
          </w:tcPr>
          <w:p w14:paraId="4438505B">
            <w:pPr>
              <w:pStyle w:val="27"/>
            </w:pPr>
          </w:p>
        </w:tc>
        <w:tc>
          <w:tcPr>
            <w:tcW w:w="959" w:type="dxa"/>
            <w:vAlign w:val="top"/>
          </w:tcPr>
          <w:p w14:paraId="0EA3265F">
            <w:pPr>
              <w:pStyle w:val="27"/>
            </w:pPr>
          </w:p>
        </w:tc>
        <w:tc>
          <w:tcPr>
            <w:tcW w:w="1210" w:type="dxa"/>
            <w:vAlign w:val="top"/>
          </w:tcPr>
          <w:p w14:paraId="0EAA6C98">
            <w:pPr>
              <w:pStyle w:val="27"/>
            </w:pPr>
          </w:p>
        </w:tc>
        <w:tc>
          <w:tcPr>
            <w:tcW w:w="959" w:type="dxa"/>
            <w:vAlign w:val="top"/>
          </w:tcPr>
          <w:p w14:paraId="07F24576">
            <w:pPr>
              <w:pStyle w:val="27"/>
            </w:pPr>
          </w:p>
        </w:tc>
        <w:tc>
          <w:tcPr>
            <w:tcW w:w="1210" w:type="dxa"/>
            <w:vAlign w:val="top"/>
          </w:tcPr>
          <w:p w14:paraId="3D71C2AC">
            <w:pPr>
              <w:pStyle w:val="27"/>
            </w:pPr>
          </w:p>
        </w:tc>
        <w:tc>
          <w:tcPr>
            <w:tcW w:w="921" w:type="dxa"/>
            <w:tcBorders>
              <w:right w:val="single" w:color="000000" w:sz="14" w:space="0"/>
            </w:tcBorders>
            <w:vAlign w:val="top"/>
          </w:tcPr>
          <w:p w14:paraId="50049A05">
            <w:pPr>
              <w:pStyle w:val="27"/>
            </w:pPr>
          </w:p>
        </w:tc>
      </w:tr>
      <w:tr w14:paraId="148D1D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4B9FF3EC">
            <w:pPr>
              <w:pStyle w:val="27"/>
            </w:pPr>
          </w:p>
        </w:tc>
        <w:tc>
          <w:tcPr>
            <w:tcW w:w="1383" w:type="dxa"/>
            <w:vAlign w:val="top"/>
          </w:tcPr>
          <w:p w14:paraId="0A9F768E">
            <w:pPr>
              <w:pStyle w:val="27"/>
            </w:pPr>
          </w:p>
        </w:tc>
        <w:tc>
          <w:tcPr>
            <w:tcW w:w="1823" w:type="dxa"/>
            <w:vAlign w:val="top"/>
          </w:tcPr>
          <w:p w14:paraId="29DC241D">
            <w:pPr>
              <w:pStyle w:val="27"/>
            </w:pPr>
          </w:p>
        </w:tc>
        <w:tc>
          <w:tcPr>
            <w:tcW w:w="1210" w:type="dxa"/>
            <w:vAlign w:val="top"/>
          </w:tcPr>
          <w:p w14:paraId="25F50CE5">
            <w:pPr>
              <w:pStyle w:val="27"/>
            </w:pPr>
          </w:p>
        </w:tc>
        <w:tc>
          <w:tcPr>
            <w:tcW w:w="959" w:type="dxa"/>
            <w:vAlign w:val="top"/>
          </w:tcPr>
          <w:p w14:paraId="2E6C8C94">
            <w:pPr>
              <w:pStyle w:val="27"/>
            </w:pPr>
          </w:p>
        </w:tc>
        <w:tc>
          <w:tcPr>
            <w:tcW w:w="1210" w:type="dxa"/>
            <w:vAlign w:val="top"/>
          </w:tcPr>
          <w:p w14:paraId="14AD2CDA">
            <w:pPr>
              <w:pStyle w:val="27"/>
            </w:pPr>
          </w:p>
        </w:tc>
        <w:tc>
          <w:tcPr>
            <w:tcW w:w="959" w:type="dxa"/>
            <w:vAlign w:val="top"/>
          </w:tcPr>
          <w:p w14:paraId="656F54DA">
            <w:pPr>
              <w:pStyle w:val="27"/>
            </w:pPr>
          </w:p>
        </w:tc>
        <w:tc>
          <w:tcPr>
            <w:tcW w:w="1210" w:type="dxa"/>
            <w:vAlign w:val="top"/>
          </w:tcPr>
          <w:p w14:paraId="4D1E0928">
            <w:pPr>
              <w:pStyle w:val="27"/>
            </w:pPr>
          </w:p>
        </w:tc>
        <w:tc>
          <w:tcPr>
            <w:tcW w:w="921" w:type="dxa"/>
            <w:tcBorders>
              <w:right w:val="single" w:color="000000" w:sz="14" w:space="0"/>
            </w:tcBorders>
            <w:vAlign w:val="top"/>
          </w:tcPr>
          <w:p w14:paraId="3A02AFB7">
            <w:pPr>
              <w:pStyle w:val="27"/>
            </w:pPr>
          </w:p>
        </w:tc>
      </w:tr>
      <w:tr w14:paraId="61FF48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0410FDC5">
            <w:pPr>
              <w:pStyle w:val="27"/>
            </w:pPr>
          </w:p>
        </w:tc>
        <w:tc>
          <w:tcPr>
            <w:tcW w:w="1383" w:type="dxa"/>
            <w:vAlign w:val="top"/>
          </w:tcPr>
          <w:p w14:paraId="5FC4ECF1">
            <w:pPr>
              <w:pStyle w:val="27"/>
            </w:pPr>
          </w:p>
        </w:tc>
        <w:tc>
          <w:tcPr>
            <w:tcW w:w="1823" w:type="dxa"/>
            <w:vAlign w:val="top"/>
          </w:tcPr>
          <w:p w14:paraId="75319A82">
            <w:pPr>
              <w:pStyle w:val="27"/>
            </w:pPr>
          </w:p>
        </w:tc>
        <w:tc>
          <w:tcPr>
            <w:tcW w:w="1210" w:type="dxa"/>
            <w:vAlign w:val="top"/>
          </w:tcPr>
          <w:p w14:paraId="67217F63">
            <w:pPr>
              <w:pStyle w:val="27"/>
            </w:pPr>
          </w:p>
        </w:tc>
        <w:tc>
          <w:tcPr>
            <w:tcW w:w="959" w:type="dxa"/>
            <w:vAlign w:val="top"/>
          </w:tcPr>
          <w:p w14:paraId="60E63561">
            <w:pPr>
              <w:pStyle w:val="27"/>
            </w:pPr>
          </w:p>
        </w:tc>
        <w:tc>
          <w:tcPr>
            <w:tcW w:w="1210" w:type="dxa"/>
            <w:vAlign w:val="top"/>
          </w:tcPr>
          <w:p w14:paraId="1B69C4B3">
            <w:pPr>
              <w:pStyle w:val="27"/>
            </w:pPr>
          </w:p>
        </w:tc>
        <w:tc>
          <w:tcPr>
            <w:tcW w:w="959" w:type="dxa"/>
            <w:vAlign w:val="top"/>
          </w:tcPr>
          <w:p w14:paraId="2AA76356">
            <w:pPr>
              <w:pStyle w:val="27"/>
            </w:pPr>
          </w:p>
        </w:tc>
        <w:tc>
          <w:tcPr>
            <w:tcW w:w="1210" w:type="dxa"/>
            <w:vAlign w:val="top"/>
          </w:tcPr>
          <w:p w14:paraId="136FF574">
            <w:pPr>
              <w:pStyle w:val="27"/>
            </w:pPr>
          </w:p>
        </w:tc>
        <w:tc>
          <w:tcPr>
            <w:tcW w:w="921" w:type="dxa"/>
            <w:tcBorders>
              <w:right w:val="single" w:color="000000" w:sz="14" w:space="0"/>
            </w:tcBorders>
            <w:vAlign w:val="top"/>
          </w:tcPr>
          <w:p w14:paraId="4736E651">
            <w:pPr>
              <w:pStyle w:val="27"/>
            </w:pPr>
          </w:p>
        </w:tc>
      </w:tr>
      <w:tr w14:paraId="1CFBA5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641" w:type="dxa"/>
            <w:tcBorders>
              <w:left w:val="single" w:color="000000" w:sz="14" w:space="0"/>
            </w:tcBorders>
            <w:vAlign w:val="top"/>
          </w:tcPr>
          <w:p w14:paraId="2198E6A4">
            <w:pPr>
              <w:pStyle w:val="27"/>
            </w:pPr>
          </w:p>
        </w:tc>
        <w:tc>
          <w:tcPr>
            <w:tcW w:w="1383" w:type="dxa"/>
            <w:vAlign w:val="top"/>
          </w:tcPr>
          <w:p w14:paraId="7C252A15">
            <w:pPr>
              <w:pStyle w:val="27"/>
            </w:pPr>
          </w:p>
        </w:tc>
        <w:tc>
          <w:tcPr>
            <w:tcW w:w="1823" w:type="dxa"/>
            <w:vAlign w:val="top"/>
          </w:tcPr>
          <w:p w14:paraId="7196032F">
            <w:pPr>
              <w:pStyle w:val="27"/>
            </w:pPr>
          </w:p>
        </w:tc>
        <w:tc>
          <w:tcPr>
            <w:tcW w:w="1210" w:type="dxa"/>
            <w:vAlign w:val="top"/>
          </w:tcPr>
          <w:p w14:paraId="204643E8">
            <w:pPr>
              <w:pStyle w:val="27"/>
            </w:pPr>
          </w:p>
        </w:tc>
        <w:tc>
          <w:tcPr>
            <w:tcW w:w="959" w:type="dxa"/>
            <w:vAlign w:val="top"/>
          </w:tcPr>
          <w:p w14:paraId="160A2F85">
            <w:pPr>
              <w:pStyle w:val="27"/>
            </w:pPr>
          </w:p>
        </w:tc>
        <w:tc>
          <w:tcPr>
            <w:tcW w:w="1210" w:type="dxa"/>
            <w:vAlign w:val="top"/>
          </w:tcPr>
          <w:p w14:paraId="2E494383">
            <w:pPr>
              <w:pStyle w:val="27"/>
            </w:pPr>
          </w:p>
        </w:tc>
        <w:tc>
          <w:tcPr>
            <w:tcW w:w="959" w:type="dxa"/>
            <w:vAlign w:val="top"/>
          </w:tcPr>
          <w:p w14:paraId="2EE4E5B9">
            <w:pPr>
              <w:pStyle w:val="27"/>
            </w:pPr>
          </w:p>
        </w:tc>
        <w:tc>
          <w:tcPr>
            <w:tcW w:w="1210" w:type="dxa"/>
            <w:vAlign w:val="top"/>
          </w:tcPr>
          <w:p w14:paraId="51B01617">
            <w:pPr>
              <w:pStyle w:val="27"/>
            </w:pPr>
          </w:p>
        </w:tc>
        <w:tc>
          <w:tcPr>
            <w:tcW w:w="921" w:type="dxa"/>
            <w:tcBorders>
              <w:right w:val="single" w:color="000000" w:sz="14" w:space="0"/>
            </w:tcBorders>
            <w:vAlign w:val="top"/>
          </w:tcPr>
          <w:p w14:paraId="19E58E27">
            <w:pPr>
              <w:pStyle w:val="27"/>
            </w:pPr>
          </w:p>
        </w:tc>
      </w:tr>
      <w:tr w14:paraId="31D6CB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06A380BE">
            <w:pPr>
              <w:pStyle w:val="27"/>
            </w:pPr>
          </w:p>
        </w:tc>
        <w:tc>
          <w:tcPr>
            <w:tcW w:w="1383" w:type="dxa"/>
            <w:vAlign w:val="top"/>
          </w:tcPr>
          <w:p w14:paraId="761A5C4E">
            <w:pPr>
              <w:pStyle w:val="27"/>
            </w:pPr>
          </w:p>
        </w:tc>
        <w:tc>
          <w:tcPr>
            <w:tcW w:w="1823" w:type="dxa"/>
            <w:vAlign w:val="top"/>
          </w:tcPr>
          <w:p w14:paraId="7860FE84">
            <w:pPr>
              <w:pStyle w:val="27"/>
            </w:pPr>
          </w:p>
        </w:tc>
        <w:tc>
          <w:tcPr>
            <w:tcW w:w="1210" w:type="dxa"/>
            <w:vAlign w:val="top"/>
          </w:tcPr>
          <w:p w14:paraId="108857C8">
            <w:pPr>
              <w:pStyle w:val="27"/>
            </w:pPr>
          </w:p>
        </w:tc>
        <w:tc>
          <w:tcPr>
            <w:tcW w:w="959" w:type="dxa"/>
            <w:vAlign w:val="top"/>
          </w:tcPr>
          <w:p w14:paraId="16C9EAE0">
            <w:pPr>
              <w:pStyle w:val="27"/>
            </w:pPr>
          </w:p>
        </w:tc>
        <w:tc>
          <w:tcPr>
            <w:tcW w:w="1210" w:type="dxa"/>
            <w:vAlign w:val="top"/>
          </w:tcPr>
          <w:p w14:paraId="40209F0E">
            <w:pPr>
              <w:pStyle w:val="27"/>
            </w:pPr>
          </w:p>
        </w:tc>
        <w:tc>
          <w:tcPr>
            <w:tcW w:w="959" w:type="dxa"/>
            <w:vAlign w:val="top"/>
          </w:tcPr>
          <w:p w14:paraId="0DFDDC3E">
            <w:pPr>
              <w:pStyle w:val="27"/>
            </w:pPr>
          </w:p>
        </w:tc>
        <w:tc>
          <w:tcPr>
            <w:tcW w:w="1210" w:type="dxa"/>
            <w:vAlign w:val="top"/>
          </w:tcPr>
          <w:p w14:paraId="60B95D7C">
            <w:pPr>
              <w:pStyle w:val="27"/>
            </w:pPr>
          </w:p>
        </w:tc>
        <w:tc>
          <w:tcPr>
            <w:tcW w:w="921" w:type="dxa"/>
            <w:tcBorders>
              <w:right w:val="single" w:color="000000" w:sz="14" w:space="0"/>
            </w:tcBorders>
            <w:vAlign w:val="top"/>
          </w:tcPr>
          <w:p w14:paraId="34239C8A">
            <w:pPr>
              <w:pStyle w:val="27"/>
            </w:pPr>
          </w:p>
        </w:tc>
      </w:tr>
      <w:tr w14:paraId="3AE4AF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032B2C42">
            <w:pPr>
              <w:pStyle w:val="27"/>
            </w:pPr>
          </w:p>
        </w:tc>
        <w:tc>
          <w:tcPr>
            <w:tcW w:w="1383" w:type="dxa"/>
            <w:vAlign w:val="top"/>
          </w:tcPr>
          <w:p w14:paraId="5E9FC811">
            <w:pPr>
              <w:pStyle w:val="27"/>
            </w:pPr>
          </w:p>
        </w:tc>
        <w:tc>
          <w:tcPr>
            <w:tcW w:w="1823" w:type="dxa"/>
            <w:vAlign w:val="top"/>
          </w:tcPr>
          <w:p w14:paraId="27EB8A8A">
            <w:pPr>
              <w:pStyle w:val="27"/>
            </w:pPr>
          </w:p>
        </w:tc>
        <w:tc>
          <w:tcPr>
            <w:tcW w:w="1210" w:type="dxa"/>
            <w:vAlign w:val="top"/>
          </w:tcPr>
          <w:p w14:paraId="0B8D31F4">
            <w:pPr>
              <w:pStyle w:val="27"/>
            </w:pPr>
          </w:p>
        </w:tc>
        <w:tc>
          <w:tcPr>
            <w:tcW w:w="959" w:type="dxa"/>
            <w:vAlign w:val="top"/>
          </w:tcPr>
          <w:p w14:paraId="5D13A3DC">
            <w:pPr>
              <w:pStyle w:val="27"/>
            </w:pPr>
          </w:p>
        </w:tc>
        <w:tc>
          <w:tcPr>
            <w:tcW w:w="1210" w:type="dxa"/>
            <w:vAlign w:val="top"/>
          </w:tcPr>
          <w:p w14:paraId="582EE8B8">
            <w:pPr>
              <w:pStyle w:val="27"/>
            </w:pPr>
          </w:p>
        </w:tc>
        <w:tc>
          <w:tcPr>
            <w:tcW w:w="959" w:type="dxa"/>
            <w:vAlign w:val="top"/>
          </w:tcPr>
          <w:p w14:paraId="2A15FADD">
            <w:pPr>
              <w:pStyle w:val="27"/>
            </w:pPr>
          </w:p>
        </w:tc>
        <w:tc>
          <w:tcPr>
            <w:tcW w:w="1210" w:type="dxa"/>
            <w:vAlign w:val="top"/>
          </w:tcPr>
          <w:p w14:paraId="66689FF2">
            <w:pPr>
              <w:pStyle w:val="27"/>
            </w:pPr>
          </w:p>
        </w:tc>
        <w:tc>
          <w:tcPr>
            <w:tcW w:w="921" w:type="dxa"/>
            <w:tcBorders>
              <w:right w:val="single" w:color="000000" w:sz="14" w:space="0"/>
            </w:tcBorders>
            <w:vAlign w:val="top"/>
          </w:tcPr>
          <w:p w14:paraId="744A7610">
            <w:pPr>
              <w:pStyle w:val="27"/>
            </w:pPr>
          </w:p>
        </w:tc>
      </w:tr>
      <w:tr w14:paraId="5EE0DC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641" w:type="dxa"/>
            <w:tcBorders>
              <w:left w:val="single" w:color="000000" w:sz="14" w:space="0"/>
            </w:tcBorders>
            <w:vAlign w:val="top"/>
          </w:tcPr>
          <w:p w14:paraId="3396DB75">
            <w:pPr>
              <w:pStyle w:val="27"/>
            </w:pPr>
          </w:p>
        </w:tc>
        <w:tc>
          <w:tcPr>
            <w:tcW w:w="1383" w:type="dxa"/>
            <w:vAlign w:val="top"/>
          </w:tcPr>
          <w:p w14:paraId="22B88F24">
            <w:pPr>
              <w:pStyle w:val="27"/>
            </w:pPr>
          </w:p>
        </w:tc>
        <w:tc>
          <w:tcPr>
            <w:tcW w:w="1823" w:type="dxa"/>
            <w:vAlign w:val="top"/>
          </w:tcPr>
          <w:p w14:paraId="65B0ABFD">
            <w:pPr>
              <w:pStyle w:val="27"/>
            </w:pPr>
          </w:p>
        </w:tc>
        <w:tc>
          <w:tcPr>
            <w:tcW w:w="1210" w:type="dxa"/>
            <w:vAlign w:val="top"/>
          </w:tcPr>
          <w:p w14:paraId="32DAC091">
            <w:pPr>
              <w:pStyle w:val="27"/>
            </w:pPr>
          </w:p>
        </w:tc>
        <w:tc>
          <w:tcPr>
            <w:tcW w:w="959" w:type="dxa"/>
            <w:vAlign w:val="top"/>
          </w:tcPr>
          <w:p w14:paraId="2BE90850">
            <w:pPr>
              <w:pStyle w:val="27"/>
            </w:pPr>
          </w:p>
        </w:tc>
        <w:tc>
          <w:tcPr>
            <w:tcW w:w="1210" w:type="dxa"/>
            <w:vAlign w:val="top"/>
          </w:tcPr>
          <w:p w14:paraId="4DA6F9EB">
            <w:pPr>
              <w:pStyle w:val="27"/>
            </w:pPr>
          </w:p>
        </w:tc>
        <w:tc>
          <w:tcPr>
            <w:tcW w:w="959" w:type="dxa"/>
            <w:vAlign w:val="top"/>
          </w:tcPr>
          <w:p w14:paraId="1B024C36">
            <w:pPr>
              <w:pStyle w:val="27"/>
            </w:pPr>
          </w:p>
        </w:tc>
        <w:tc>
          <w:tcPr>
            <w:tcW w:w="1210" w:type="dxa"/>
            <w:vAlign w:val="top"/>
          </w:tcPr>
          <w:p w14:paraId="6DE3213D">
            <w:pPr>
              <w:pStyle w:val="27"/>
            </w:pPr>
          </w:p>
        </w:tc>
        <w:tc>
          <w:tcPr>
            <w:tcW w:w="921" w:type="dxa"/>
            <w:tcBorders>
              <w:right w:val="single" w:color="000000" w:sz="14" w:space="0"/>
            </w:tcBorders>
            <w:vAlign w:val="top"/>
          </w:tcPr>
          <w:p w14:paraId="1638B62A">
            <w:pPr>
              <w:pStyle w:val="27"/>
            </w:pPr>
          </w:p>
        </w:tc>
      </w:tr>
      <w:tr w14:paraId="71391D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6016" w:type="dxa"/>
            <w:gridSpan w:val="5"/>
            <w:tcBorders>
              <w:left w:val="single" w:color="000000" w:sz="14" w:space="0"/>
              <w:bottom w:val="single" w:color="000000" w:sz="14" w:space="0"/>
            </w:tcBorders>
            <w:vAlign w:val="top"/>
          </w:tcPr>
          <w:p w14:paraId="0D532F13">
            <w:pPr>
              <w:spacing w:before="160" w:line="221" w:lineRule="auto"/>
              <w:ind w:left="2696"/>
              <w:rPr>
                <w:rFonts w:ascii="宋体" w:hAnsi="宋体" w:eastAsia="宋体" w:cs="宋体"/>
                <w:sz w:val="18"/>
                <w:szCs w:val="18"/>
              </w:rPr>
            </w:pPr>
            <w:r>
              <w:rPr>
                <w:rFonts w:ascii="宋体" w:hAnsi="宋体" w:eastAsia="宋体" w:cs="宋体"/>
                <w:spacing w:val="-4"/>
                <w:sz w:val="18"/>
                <w:szCs w:val="18"/>
              </w:rPr>
              <w:t>合</w:t>
            </w:r>
            <w:r>
              <w:rPr>
                <w:rFonts w:ascii="宋体" w:hAnsi="宋体" w:eastAsia="宋体" w:cs="宋体"/>
                <w:spacing w:val="3"/>
                <w:sz w:val="18"/>
                <w:szCs w:val="18"/>
              </w:rPr>
              <w:t xml:space="preserve">   </w:t>
            </w:r>
            <w:r>
              <w:rPr>
                <w:rFonts w:ascii="宋体" w:hAnsi="宋体" w:eastAsia="宋体" w:cs="宋体"/>
                <w:spacing w:val="-4"/>
                <w:sz w:val="18"/>
                <w:szCs w:val="18"/>
              </w:rPr>
              <w:t>计</w:t>
            </w:r>
          </w:p>
        </w:tc>
        <w:tc>
          <w:tcPr>
            <w:tcW w:w="1210" w:type="dxa"/>
            <w:tcBorders>
              <w:bottom w:val="single" w:color="000000" w:sz="14" w:space="0"/>
            </w:tcBorders>
            <w:vAlign w:val="top"/>
          </w:tcPr>
          <w:p w14:paraId="635B8F13">
            <w:pPr>
              <w:pStyle w:val="27"/>
            </w:pPr>
          </w:p>
        </w:tc>
        <w:tc>
          <w:tcPr>
            <w:tcW w:w="959" w:type="dxa"/>
            <w:tcBorders>
              <w:bottom w:val="single" w:color="000000" w:sz="14" w:space="0"/>
            </w:tcBorders>
            <w:vAlign w:val="top"/>
          </w:tcPr>
          <w:p w14:paraId="15EC2646">
            <w:pPr>
              <w:pStyle w:val="27"/>
            </w:pPr>
          </w:p>
        </w:tc>
        <w:tc>
          <w:tcPr>
            <w:tcW w:w="1210" w:type="dxa"/>
            <w:tcBorders>
              <w:bottom w:val="single" w:color="000000" w:sz="14" w:space="0"/>
            </w:tcBorders>
            <w:vAlign w:val="top"/>
          </w:tcPr>
          <w:p w14:paraId="39B692D1">
            <w:pPr>
              <w:pStyle w:val="27"/>
            </w:pPr>
          </w:p>
        </w:tc>
        <w:tc>
          <w:tcPr>
            <w:tcW w:w="921" w:type="dxa"/>
            <w:tcBorders>
              <w:bottom w:val="single" w:color="000000" w:sz="14" w:space="0"/>
              <w:right w:val="single" w:color="000000" w:sz="14" w:space="0"/>
            </w:tcBorders>
            <w:vAlign w:val="top"/>
          </w:tcPr>
          <w:p w14:paraId="6F06D7C6">
            <w:pPr>
              <w:pStyle w:val="27"/>
            </w:pPr>
          </w:p>
        </w:tc>
      </w:tr>
    </w:tbl>
    <w:p w14:paraId="28D0F0A0">
      <w:pPr>
        <w:spacing w:line="14" w:lineRule="auto"/>
        <w:rPr>
          <w:rFonts w:ascii="Arial"/>
          <w:sz w:val="2"/>
        </w:rPr>
      </w:pPr>
    </w:p>
    <w:p w14:paraId="2089AA18">
      <w:pPr>
        <w:spacing w:line="14" w:lineRule="auto"/>
        <w:rPr>
          <w:rFonts w:ascii="Arial" w:hAnsi="Arial" w:eastAsia="Arial" w:cs="Arial"/>
          <w:sz w:val="2"/>
          <w:szCs w:val="2"/>
        </w:rPr>
        <w:sectPr>
          <w:type w:val="continuous"/>
          <w:pgSz w:w="11905" w:h="16837"/>
          <w:pgMar w:top="724" w:right="593" w:bottom="1162" w:left="820" w:header="0" w:footer="973" w:gutter="0"/>
          <w:pgNumType w:fmt="decimal"/>
          <w:cols w:equalWidth="0" w:num="1">
            <w:col w:w="10491"/>
          </w:cols>
        </w:sectPr>
      </w:pPr>
    </w:p>
    <w:p w14:paraId="2EE266A2">
      <w:pPr>
        <w:pStyle w:val="8"/>
        <w:spacing w:before="55" w:line="218" w:lineRule="auto"/>
        <w:ind w:left="3799"/>
        <w:outlineLvl w:val="1"/>
        <w:rPr>
          <w:sz w:val="28"/>
          <w:szCs w:val="28"/>
        </w:rPr>
      </w:pPr>
      <w:r>
        <w:rPr>
          <w:b/>
          <w:bCs/>
          <w:spacing w:val="-2"/>
          <w:sz w:val="28"/>
          <w:szCs w:val="28"/>
        </w:rPr>
        <w:t>规费、税金项目计价表</w:t>
      </w:r>
    </w:p>
    <w:p w14:paraId="5C826532">
      <w:pPr>
        <w:spacing w:before="213" w:line="221" w:lineRule="auto"/>
        <w:ind w:left="74"/>
        <w:rPr>
          <w:rFonts w:ascii="黑体" w:hAnsi="黑体" w:eastAsia="黑体" w:cs="黑体"/>
          <w:sz w:val="18"/>
          <w:szCs w:val="18"/>
        </w:rPr>
      </w:pPr>
      <w:r>
        <w:rPr>
          <w:rFonts w:ascii="黑体" w:hAnsi="黑体" w:eastAsia="黑体" w:cs="黑体"/>
          <w:spacing w:val="1"/>
          <w:sz w:val="18"/>
          <w:szCs w:val="18"/>
        </w:rPr>
        <w:t xml:space="preserve">工程名称：响水县开发区东风社区道路维修工程                       </w:t>
      </w:r>
      <w:r>
        <w:rPr>
          <w:rFonts w:ascii="黑体" w:hAnsi="黑体" w:eastAsia="黑体" w:cs="黑体"/>
          <w:sz w:val="18"/>
          <w:szCs w:val="18"/>
        </w:rPr>
        <w:t xml:space="preserve">     </w:t>
      </w:r>
      <w:r>
        <w:rPr>
          <w:rFonts w:ascii="黑体" w:hAnsi="黑体" w:eastAsia="黑体" w:cs="黑体"/>
          <w:spacing w:val="1"/>
          <w:sz w:val="18"/>
          <w:szCs w:val="18"/>
        </w:rPr>
        <w:t>标段：</w:t>
      </w:r>
    </w:p>
    <w:p w14:paraId="3F3B3ECD">
      <w:pPr>
        <w:spacing w:line="40" w:lineRule="auto"/>
        <w:rPr>
          <w:rFonts w:ascii="Arial"/>
          <w:sz w:val="2"/>
        </w:rPr>
      </w:pPr>
    </w:p>
    <w:tbl>
      <w:tblPr>
        <w:tblStyle w:val="26"/>
        <w:tblpPr w:leftFromText="180" w:rightFromText="180" w:vertAnchor="text" w:horzAnchor="page" w:tblpX="805" w:tblpY="151"/>
        <w:tblOverlap w:val="never"/>
        <w:tblW w:w="1033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30"/>
        <w:gridCol w:w="2280"/>
        <w:gridCol w:w="3253"/>
        <w:gridCol w:w="1619"/>
        <w:gridCol w:w="1210"/>
        <w:gridCol w:w="1141"/>
      </w:tblGrid>
      <w:tr w14:paraId="3077C8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830" w:type="dxa"/>
            <w:tcBorders>
              <w:top w:val="single" w:color="000000" w:sz="14" w:space="0"/>
              <w:left w:val="single" w:color="000000" w:sz="14" w:space="0"/>
            </w:tcBorders>
            <w:vAlign w:val="top"/>
          </w:tcPr>
          <w:p w14:paraId="4BE1E543">
            <w:pPr>
              <w:spacing w:before="185" w:line="223" w:lineRule="auto"/>
              <w:ind w:left="226"/>
              <w:rPr>
                <w:rFonts w:ascii="黑体" w:hAnsi="黑体" w:eastAsia="黑体" w:cs="黑体"/>
                <w:sz w:val="18"/>
                <w:szCs w:val="18"/>
              </w:rPr>
            </w:pPr>
            <w:r>
              <w:rPr>
                <w:rFonts w:ascii="黑体" w:hAnsi="黑体" w:eastAsia="黑体" w:cs="黑体"/>
                <w:b/>
                <w:bCs/>
                <w:spacing w:val="-3"/>
                <w:sz w:val="18"/>
                <w:szCs w:val="18"/>
              </w:rPr>
              <w:t>序号</w:t>
            </w:r>
          </w:p>
        </w:tc>
        <w:tc>
          <w:tcPr>
            <w:tcW w:w="2280" w:type="dxa"/>
            <w:tcBorders>
              <w:top w:val="single" w:color="000000" w:sz="14" w:space="0"/>
            </w:tcBorders>
            <w:vAlign w:val="top"/>
          </w:tcPr>
          <w:p w14:paraId="3B9C7B2F">
            <w:pPr>
              <w:spacing w:before="185" w:line="222" w:lineRule="auto"/>
              <w:ind w:left="767"/>
              <w:rPr>
                <w:rFonts w:ascii="黑体" w:hAnsi="黑体" w:eastAsia="黑体" w:cs="黑体"/>
                <w:sz w:val="18"/>
                <w:szCs w:val="18"/>
              </w:rPr>
            </w:pPr>
            <w:r>
              <w:rPr>
                <w:rFonts w:ascii="黑体" w:hAnsi="黑体" w:eastAsia="黑体" w:cs="黑体"/>
                <w:b/>
                <w:bCs/>
                <w:sz w:val="18"/>
                <w:szCs w:val="18"/>
              </w:rPr>
              <w:t>项目名称</w:t>
            </w:r>
          </w:p>
        </w:tc>
        <w:tc>
          <w:tcPr>
            <w:tcW w:w="3253" w:type="dxa"/>
            <w:tcBorders>
              <w:top w:val="single" w:color="000000" w:sz="14" w:space="0"/>
            </w:tcBorders>
            <w:vAlign w:val="top"/>
          </w:tcPr>
          <w:p w14:paraId="75481E3D">
            <w:pPr>
              <w:spacing w:before="185" w:line="221" w:lineRule="auto"/>
              <w:ind w:left="1261"/>
              <w:rPr>
                <w:rFonts w:ascii="黑体" w:hAnsi="黑体" w:eastAsia="黑体" w:cs="黑体"/>
                <w:sz w:val="18"/>
                <w:szCs w:val="18"/>
              </w:rPr>
            </w:pPr>
            <w:r>
              <w:rPr>
                <w:rFonts w:ascii="黑体" w:hAnsi="黑体" w:eastAsia="黑体" w:cs="黑体"/>
                <w:b/>
                <w:bCs/>
                <w:spacing w:val="-1"/>
                <w:sz w:val="18"/>
                <w:szCs w:val="18"/>
              </w:rPr>
              <w:t>计算基础</w:t>
            </w:r>
          </w:p>
        </w:tc>
        <w:tc>
          <w:tcPr>
            <w:tcW w:w="1619" w:type="dxa"/>
            <w:tcBorders>
              <w:top w:val="single" w:color="000000" w:sz="14" w:space="0"/>
            </w:tcBorders>
            <w:vAlign w:val="top"/>
          </w:tcPr>
          <w:p w14:paraId="64534722">
            <w:pPr>
              <w:spacing w:before="185" w:line="222" w:lineRule="auto"/>
              <w:ind w:left="267"/>
              <w:rPr>
                <w:rFonts w:ascii="黑体" w:hAnsi="黑体" w:eastAsia="黑体" w:cs="黑体"/>
                <w:sz w:val="18"/>
                <w:szCs w:val="18"/>
              </w:rPr>
            </w:pPr>
            <w:r>
              <w:rPr>
                <w:rFonts w:ascii="黑体" w:hAnsi="黑体" w:eastAsia="黑体" w:cs="黑体"/>
                <w:b/>
                <w:bCs/>
                <w:spacing w:val="1"/>
                <w:sz w:val="18"/>
                <w:szCs w:val="18"/>
              </w:rPr>
              <w:t>计算基数(元)</w:t>
            </w:r>
          </w:p>
        </w:tc>
        <w:tc>
          <w:tcPr>
            <w:tcW w:w="1210" w:type="dxa"/>
            <w:tcBorders>
              <w:top w:val="single" w:color="000000" w:sz="14" w:space="0"/>
            </w:tcBorders>
            <w:vAlign w:val="top"/>
          </w:tcPr>
          <w:p w14:paraId="590D94DA">
            <w:pPr>
              <w:spacing w:before="185" w:line="222" w:lineRule="auto"/>
              <w:ind w:left="66"/>
              <w:rPr>
                <w:rFonts w:ascii="黑体" w:hAnsi="黑体" w:eastAsia="黑体" w:cs="黑体"/>
                <w:sz w:val="18"/>
                <w:szCs w:val="18"/>
              </w:rPr>
            </w:pPr>
            <w:r>
              <w:rPr>
                <w:rFonts w:ascii="黑体" w:hAnsi="黑体" w:eastAsia="黑体" w:cs="黑体"/>
                <w:b/>
                <w:bCs/>
                <w:spacing w:val="1"/>
                <w:sz w:val="18"/>
                <w:szCs w:val="18"/>
              </w:rPr>
              <w:t>计算费率(％)</w:t>
            </w:r>
          </w:p>
        </w:tc>
        <w:tc>
          <w:tcPr>
            <w:tcW w:w="1141" w:type="dxa"/>
            <w:tcBorders>
              <w:top w:val="single" w:color="000000" w:sz="14" w:space="0"/>
              <w:right w:val="single" w:color="000000" w:sz="14" w:space="0"/>
            </w:tcBorders>
            <w:vAlign w:val="top"/>
          </w:tcPr>
          <w:p w14:paraId="0DD7EC89">
            <w:pPr>
              <w:spacing w:before="185" w:line="222" w:lineRule="auto"/>
              <w:ind w:left="217"/>
              <w:rPr>
                <w:rFonts w:ascii="黑体" w:hAnsi="黑体" w:eastAsia="黑体" w:cs="黑体"/>
                <w:sz w:val="18"/>
                <w:szCs w:val="18"/>
              </w:rPr>
            </w:pPr>
            <w:r>
              <w:rPr>
                <w:rFonts w:ascii="黑体" w:hAnsi="黑体" w:eastAsia="黑体" w:cs="黑体"/>
                <w:b/>
                <w:bCs/>
                <w:sz w:val="18"/>
                <w:szCs w:val="18"/>
              </w:rPr>
              <w:t>金额(元)</w:t>
            </w:r>
          </w:p>
        </w:tc>
      </w:tr>
      <w:tr w14:paraId="2E45D1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469DB008">
            <w:pPr>
              <w:spacing w:before="77" w:line="241" w:lineRule="auto"/>
              <w:ind w:left="378"/>
              <w:rPr>
                <w:rFonts w:ascii="宋体" w:hAnsi="宋体" w:eastAsia="宋体" w:cs="宋体"/>
                <w:sz w:val="18"/>
                <w:szCs w:val="18"/>
              </w:rPr>
            </w:pPr>
            <w:r>
              <w:rPr>
                <w:rFonts w:ascii="宋体" w:hAnsi="宋体" w:eastAsia="宋体" w:cs="宋体"/>
                <w:sz w:val="18"/>
                <w:szCs w:val="18"/>
              </w:rPr>
              <w:t>1</w:t>
            </w:r>
          </w:p>
        </w:tc>
        <w:tc>
          <w:tcPr>
            <w:tcW w:w="2280" w:type="dxa"/>
            <w:vAlign w:val="top"/>
          </w:tcPr>
          <w:p w14:paraId="43319B13">
            <w:pPr>
              <w:spacing w:before="77" w:line="220" w:lineRule="auto"/>
              <w:ind w:left="23"/>
              <w:rPr>
                <w:rFonts w:ascii="宋体" w:hAnsi="宋体" w:eastAsia="宋体" w:cs="宋体"/>
                <w:sz w:val="18"/>
                <w:szCs w:val="18"/>
              </w:rPr>
            </w:pPr>
            <w:r>
              <w:rPr>
                <w:rFonts w:ascii="宋体" w:hAnsi="宋体" w:eastAsia="宋体" w:cs="宋体"/>
                <w:spacing w:val="-4"/>
                <w:sz w:val="18"/>
                <w:szCs w:val="18"/>
              </w:rPr>
              <w:t>规费</w:t>
            </w:r>
          </w:p>
        </w:tc>
        <w:tc>
          <w:tcPr>
            <w:tcW w:w="3253" w:type="dxa"/>
            <w:vAlign w:val="top"/>
          </w:tcPr>
          <w:p w14:paraId="1C82B7D3">
            <w:pPr>
              <w:pStyle w:val="27"/>
            </w:pPr>
          </w:p>
        </w:tc>
        <w:tc>
          <w:tcPr>
            <w:tcW w:w="1619" w:type="dxa"/>
            <w:vAlign w:val="top"/>
          </w:tcPr>
          <w:p w14:paraId="6160EB18">
            <w:pPr>
              <w:pStyle w:val="27"/>
            </w:pPr>
          </w:p>
        </w:tc>
        <w:tc>
          <w:tcPr>
            <w:tcW w:w="1210" w:type="dxa"/>
            <w:vAlign w:val="top"/>
          </w:tcPr>
          <w:p w14:paraId="27782195">
            <w:pPr>
              <w:spacing w:before="77" w:line="239" w:lineRule="auto"/>
              <w:ind w:right="2"/>
              <w:jc w:val="right"/>
              <w:rPr>
                <w:rFonts w:ascii="宋体" w:hAnsi="宋体" w:eastAsia="宋体" w:cs="宋体"/>
                <w:sz w:val="18"/>
                <w:szCs w:val="18"/>
              </w:rPr>
            </w:pPr>
            <w:r>
              <w:rPr>
                <w:rFonts w:ascii="宋体" w:hAnsi="宋体" w:eastAsia="宋体" w:cs="宋体"/>
                <w:spacing w:val="-3"/>
                <w:sz w:val="18"/>
                <w:szCs w:val="18"/>
              </w:rPr>
              <w:t>100.000</w:t>
            </w:r>
          </w:p>
        </w:tc>
        <w:tc>
          <w:tcPr>
            <w:tcW w:w="1141" w:type="dxa"/>
            <w:tcBorders>
              <w:right w:val="single" w:color="000000" w:sz="14" w:space="0"/>
            </w:tcBorders>
            <w:vAlign w:val="top"/>
          </w:tcPr>
          <w:p w14:paraId="479A3FBF">
            <w:pPr>
              <w:pStyle w:val="27"/>
            </w:pPr>
          </w:p>
        </w:tc>
      </w:tr>
      <w:tr w14:paraId="10FC48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830" w:type="dxa"/>
            <w:tcBorders>
              <w:left w:val="single" w:color="000000" w:sz="14" w:space="0"/>
            </w:tcBorders>
            <w:vAlign w:val="top"/>
          </w:tcPr>
          <w:p w14:paraId="41C8BDE3">
            <w:pPr>
              <w:spacing w:before="176" w:line="239" w:lineRule="auto"/>
              <w:ind w:left="287"/>
              <w:rPr>
                <w:rFonts w:ascii="宋体" w:hAnsi="宋体" w:eastAsia="宋体" w:cs="宋体"/>
                <w:sz w:val="18"/>
                <w:szCs w:val="18"/>
              </w:rPr>
            </w:pPr>
            <w:r>
              <w:rPr>
                <w:rFonts w:ascii="宋体" w:hAnsi="宋体" w:eastAsia="宋体" w:cs="宋体"/>
                <w:spacing w:val="-7"/>
                <w:sz w:val="18"/>
                <w:szCs w:val="18"/>
              </w:rPr>
              <w:t>1.1</w:t>
            </w:r>
          </w:p>
        </w:tc>
        <w:tc>
          <w:tcPr>
            <w:tcW w:w="2280" w:type="dxa"/>
            <w:vAlign w:val="top"/>
          </w:tcPr>
          <w:p w14:paraId="14B7C5C8">
            <w:pPr>
              <w:spacing w:before="176" w:line="219" w:lineRule="auto"/>
              <w:ind w:left="24"/>
              <w:rPr>
                <w:rFonts w:ascii="宋体" w:hAnsi="宋体" w:eastAsia="宋体" w:cs="宋体"/>
                <w:sz w:val="18"/>
                <w:szCs w:val="18"/>
              </w:rPr>
            </w:pPr>
            <w:r>
              <w:rPr>
                <w:rFonts w:ascii="宋体" w:hAnsi="宋体" w:eastAsia="宋体" w:cs="宋体"/>
                <w:spacing w:val="-2"/>
                <w:sz w:val="18"/>
                <w:szCs w:val="18"/>
              </w:rPr>
              <w:t>社会保险费</w:t>
            </w:r>
          </w:p>
        </w:tc>
        <w:tc>
          <w:tcPr>
            <w:tcW w:w="3253" w:type="dxa"/>
            <w:vAlign w:val="top"/>
          </w:tcPr>
          <w:p w14:paraId="5FE438D4">
            <w:pPr>
              <w:spacing w:before="67" w:line="229" w:lineRule="auto"/>
              <w:ind w:left="39" w:right="151" w:hanging="7"/>
              <w:rPr>
                <w:rFonts w:ascii="宋体" w:hAnsi="宋体" w:eastAsia="宋体" w:cs="宋体"/>
                <w:sz w:val="18"/>
                <w:szCs w:val="18"/>
              </w:rPr>
            </w:pPr>
            <w:r>
              <w:rPr>
                <w:rFonts w:ascii="宋体" w:hAnsi="宋体" w:eastAsia="宋体" w:cs="宋体"/>
                <w:spacing w:val="-1"/>
                <w:sz w:val="18"/>
                <w:szCs w:val="18"/>
              </w:rPr>
              <w:t>分部分项工程费+措施项目费+其他项目</w:t>
            </w:r>
            <w:r>
              <w:rPr>
                <w:rFonts w:ascii="宋体" w:hAnsi="宋体" w:eastAsia="宋体" w:cs="宋体"/>
                <w:spacing w:val="-2"/>
                <w:sz w:val="18"/>
                <w:szCs w:val="18"/>
              </w:rPr>
              <w:t>费-除税工程设备费</w:t>
            </w:r>
          </w:p>
        </w:tc>
        <w:tc>
          <w:tcPr>
            <w:tcW w:w="1619" w:type="dxa"/>
            <w:vAlign w:val="top"/>
          </w:tcPr>
          <w:p w14:paraId="64AAC977">
            <w:pPr>
              <w:pStyle w:val="27"/>
            </w:pPr>
          </w:p>
        </w:tc>
        <w:tc>
          <w:tcPr>
            <w:tcW w:w="1210" w:type="dxa"/>
            <w:vAlign w:val="top"/>
          </w:tcPr>
          <w:p w14:paraId="7EB46393">
            <w:pPr>
              <w:spacing w:before="176" w:line="239" w:lineRule="auto"/>
              <w:ind w:right="2"/>
              <w:jc w:val="right"/>
              <w:rPr>
                <w:rFonts w:ascii="宋体" w:hAnsi="宋体" w:eastAsia="宋体" w:cs="宋体"/>
                <w:sz w:val="18"/>
                <w:szCs w:val="18"/>
              </w:rPr>
            </w:pPr>
            <w:r>
              <w:rPr>
                <w:rFonts w:ascii="宋体" w:hAnsi="宋体" w:eastAsia="宋体" w:cs="宋体"/>
                <w:spacing w:val="-2"/>
                <w:sz w:val="18"/>
                <w:szCs w:val="18"/>
              </w:rPr>
              <w:t>2.000</w:t>
            </w:r>
          </w:p>
        </w:tc>
        <w:tc>
          <w:tcPr>
            <w:tcW w:w="1141" w:type="dxa"/>
            <w:tcBorders>
              <w:right w:val="single" w:color="000000" w:sz="14" w:space="0"/>
            </w:tcBorders>
            <w:vAlign w:val="top"/>
          </w:tcPr>
          <w:p w14:paraId="387925C0">
            <w:pPr>
              <w:pStyle w:val="27"/>
            </w:pPr>
          </w:p>
        </w:tc>
      </w:tr>
      <w:tr w14:paraId="68BC46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830" w:type="dxa"/>
            <w:tcBorders>
              <w:left w:val="single" w:color="000000" w:sz="14" w:space="0"/>
            </w:tcBorders>
            <w:vAlign w:val="top"/>
          </w:tcPr>
          <w:p w14:paraId="6F2D98AB">
            <w:pPr>
              <w:spacing w:before="177" w:line="239" w:lineRule="auto"/>
              <w:ind w:left="287"/>
              <w:rPr>
                <w:rFonts w:ascii="宋体" w:hAnsi="宋体" w:eastAsia="宋体" w:cs="宋体"/>
                <w:sz w:val="18"/>
                <w:szCs w:val="18"/>
              </w:rPr>
            </w:pPr>
            <w:r>
              <w:rPr>
                <w:rFonts w:ascii="宋体" w:hAnsi="宋体" w:eastAsia="宋体" w:cs="宋体"/>
                <w:spacing w:val="-7"/>
                <w:sz w:val="18"/>
                <w:szCs w:val="18"/>
              </w:rPr>
              <w:t>1.2</w:t>
            </w:r>
          </w:p>
        </w:tc>
        <w:tc>
          <w:tcPr>
            <w:tcW w:w="2280" w:type="dxa"/>
            <w:vAlign w:val="top"/>
          </w:tcPr>
          <w:p w14:paraId="3BB4C97B">
            <w:pPr>
              <w:spacing w:before="177" w:line="220" w:lineRule="auto"/>
              <w:ind w:left="22"/>
              <w:rPr>
                <w:rFonts w:ascii="宋体" w:hAnsi="宋体" w:eastAsia="宋体" w:cs="宋体"/>
                <w:sz w:val="18"/>
                <w:szCs w:val="18"/>
              </w:rPr>
            </w:pPr>
            <w:r>
              <w:rPr>
                <w:rFonts w:ascii="宋体" w:hAnsi="宋体" w:eastAsia="宋体" w:cs="宋体"/>
                <w:spacing w:val="-2"/>
                <w:sz w:val="18"/>
                <w:szCs w:val="18"/>
              </w:rPr>
              <w:t>住房公积金</w:t>
            </w:r>
          </w:p>
        </w:tc>
        <w:tc>
          <w:tcPr>
            <w:tcW w:w="3253" w:type="dxa"/>
            <w:vAlign w:val="top"/>
          </w:tcPr>
          <w:p w14:paraId="05A262B6">
            <w:pPr>
              <w:spacing w:before="67" w:line="229" w:lineRule="auto"/>
              <w:ind w:left="39" w:right="151" w:hanging="7"/>
              <w:rPr>
                <w:rFonts w:ascii="宋体" w:hAnsi="宋体" w:eastAsia="宋体" w:cs="宋体"/>
                <w:sz w:val="18"/>
                <w:szCs w:val="18"/>
              </w:rPr>
            </w:pPr>
            <w:r>
              <w:rPr>
                <w:rFonts w:ascii="宋体" w:hAnsi="宋体" w:eastAsia="宋体" w:cs="宋体"/>
                <w:spacing w:val="-1"/>
                <w:sz w:val="18"/>
                <w:szCs w:val="18"/>
              </w:rPr>
              <w:t>分部分项工程费+措施项目费+其他项目</w:t>
            </w:r>
            <w:r>
              <w:rPr>
                <w:rFonts w:ascii="宋体" w:hAnsi="宋体" w:eastAsia="宋体" w:cs="宋体"/>
                <w:spacing w:val="-2"/>
                <w:sz w:val="18"/>
                <w:szCs w:val="18"/>
              </w:rPr>
              <w:t>费-除税工程设备费</w:t>
            </w:r>
          </w:p>
        </w:tc>
        <w:tc>
          <w:tcPr>
            <w:tcW w:w="1619" w:type="dxa"/>
            <w:vAlign w:val="top"/>
          </w:tcPr>
          <w:p w14:paraId="232A4FF8">
            <w:pPr>
              <w:pStyle w:val="27"/>
            </w:pPr>
          </w:p>
        </w:tc>
        <w:tc>
          <w:tcPr>
            <w:tcW w:w="1210" w:type="dxa"/>
            <w:vAlign w:val="top"/>
          </w:tcPr>
          <w:p w14:paraId="6D930627">
            <w:pPr>
              <w:spacing w:before="177" w:line="239" w:lineRule="auto"/>
              <w:ind w:right="2"/>
              <w:jc w:val="right"/>
              <w:rPr>
                <w:rFonts w:ascii="宋体" w:hAnsi="宋体" w:eastAsia="宋体" w:cs="宋体"/>
                <w:sz w:val="18"/>
                <w:szCs w:val="18"/>
              </w:rPr>
            </w:pPr>
            <w:r>
              <w:rPr>
                <w:rFonts w:ascii="宋体" w:hAnsi="宋体" w:eastAsia="宋体" w:cs="宋体"/>
                <w:spacing w:val="-1"/>
                <w:sz w:val="18"/>
                <w:szCs w:val="18"/>
              </w:rPr>
              <w:t>0.340</w:t>
            </w:r>
          </w:p>
        </w:tc>
        <w:tc>
          <w:tcPr>
            <w:tcW w:w="1141" w:type="dxa"/>
            <w:tcBorders>
              <w:right w:val="single" w:color="000000" w:sz="14" w:space="0"/>
            </w:tcBorders>
            <w:vAlign w:val="top"/>
          </w:tcPr>
          <w:p w14:paraId="513ECB4B">
            <w:pPr>
              <w:pStyle w:val="27"/>
            </w:pPr>
          </w:p>
        </w:tc>
      </w:tr>
      <w:tr w14:paraId="48A11A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830" w:type="dxa"/>
            <w:tcBorders>
              <w:left w:val="single" w:color="000000" w:sz="14" w:space="0"/>
            </w:tcBorders>
            <w:vAlign w:val="top"/>
          </w:tcPr>
          <w:p w14:paraId="1FEBC73A">
            <w:pPr>
              <w:spacing w:before="178" w:line="239" w:lineRule="auto"/>
              <w:ind w:left="287"/>
              <w:rPr>
                <w:rFonts w:ascii="宋体" w:hAnsi="宋体" w:eastAsia="宋体" w:cs="宋体"/>
                <w:sz w:val="18"/>
                <w:szCs w:val="18"/>
              </w:rPr>
            </w:pPr>
            <w:r>
              <w:rPr>
                <w:rFonts w:ascii="宋体" w:hAnsi="宋体" w:eastAsia="宋体" w:cs="宋体"/>
                <w:spacing w:val="-7"/>
                <w:sz w:val="18"/>
                <w:szCs w:val="18"/>
              </w:rPr>
              <w:t>1.3</w:t>
            </w:r>
          </w:p>
        </w:tc>
        <w:tc>
          <w:tcPr>
            <w:tcW w:w="2280" w:type="dxa"/>
            <w:vAlign w:val="top"/>
          </w:tcPr>
          <w:p w14:paraId="55BF5C88">
            <w:pPr>
              <w:spacing w:before="178" w:line="220" w:lineRule="auto"/>
              <w:ind w:left="23"/>
              <w:rPr>
                <w:rFonts w:ascii="宋体" w:hAnsi="宋体" w:eastAsia="宋体" w:cs="宋体"/>
                <w:sz w:val="18"/>
                <w:szCs w:val="18"/>
              </w:rPr>
            </w:pPr>
            <w:r>
              <w:rPr>
                <w:rFonts w:ascii="宋体" w:hAnsi="宋体" w:eastAsia="宋体" w:cs="宋体"/>
                <w:spacing w:val="-2"/>
                <w:sz w:val="18"/>
                <w:szCs w:val="18"/>
              </w:rPr>
              <w:t>环境保护税</w:t>
            </w:r>
          </w:p>
        </w:tc>
        <w:tc>
          <w:tcPr>
            <w:tcW w:w="3253" w:type="dxa"/>
            <w:vAlign w:val="top"/>
          </w:tcPr>
          <w:p w14:paraId="3D4B5018">
            <w:pPr>
              <w:spacing w:before="69" w:line="228" w:lineRule="auto"/>
              <w:ind w:left="39" w:right="151" w:hanging="7"/>
              <w:rPr>
                <w:rFonts w:ascii="宋体" w:hAnsi="宋体" w:eastAsia="宋体" w:cs="宋体"/>
                <w:sz w:val="18"/>
                <w:szCs w:val="18"/>
              </w:rPr>
            </w:pPr>
            <w:r>
              <w:rPr>
                <w:rFonts w:ascii="宋体" w:hAnsi="宋体" w:eastAsia="宋体" w:cs="宋体"/>
                <w:spacing w:val="-1"/>
                <w:sz w:val="18"/>
                <w:szCs w:val="18"/>
              </w:rPr>
              <w:t>分部分项工程费+措施项目费+其他项目</w:t>
            </w:r>
            <w:r>
              <w:rPr>
                <w:rFonts w:ascii="宋体" w:hAnsi="宋体" w:eastAsia="宋体" w:cs="宋体"/>
                <w:spacing w:val="-2"/>
                <w:sz w:val="18"/>
                <w:szCs w:val="18"/>
              </w:rPr>
              <w:t>费-除税工程设备费</w:t>
            </w:r>
          </w:p>
        </w:tc>
        <w:tc>
          <w:tcPr>
            <w:tcW w:w="1619" w:type="dxa"/>
            <w:vAlign w:val="top"/>
          </w:tcPr>
          <w:p w14:paraId="0D7ED19B">
            <w:pPr>
              <w:pStyle w:val="27"/>
            </w:pPr>
          </w:p>
        </w:tc>
        <w:tc>
          <w:tcPr>
            <w:tcW w:w="1210" w:type="dxa"/>
            <w:vAlign w:val="top"/>
          </w:tcPr>
          <w:p w14:paraId="124A2583">
            <w:pPr>
              <w:spacing w:before="178" w:line="239" w:lineRule="auto"/>
              <w:ind w:right="2"/>
              <w:jc w:val="right"/>
              <w:rPr>
                <w:rFonts w:ascii="宋体" w:hAnsi="宋体" w:eastAsia="宋体" w:cs="宋体"/>
                <w:sz w:val="18"/>
                <w:szCs w:val="18"/>
              </w:rPr>
            </w:pPr>
            <w:r>
              <w:rPr>
                <w:rFonts w:ascii="宋体" w:hAnsi="宋体" w:eastAsia="宋体" w:cs="宋体"/>
                <w:spacing w:val="-1"/>
                <w:sz w:val="18"/>
                <w:szCs w:val="18"/>
              </w:rPr>
              <w:t>0.100</w:t>
            </w:r>
          </w:p>
        </w:tc>
        <w:tc>
          <w:tcPr>
            <w:tcW w:w="1141" w:type="dxa"/>
            <w:tcBorders>
              <w:right w:val="single" w:color="000000" w:sz="14" w:space="0"/>
            </w:tcBorders>
            <w:vAlign w:val="top"/>
          </w:tcPr>
          <w:p w14:paraId="0A866D2C">
            <w:pPr>
              <w:pStyle w:val="27"/>
            </w:pPr>
          </w:p>
        </w:tc>
      </w:tr>
      <w:tr w14:paraId="7C02B3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8" w:hRule="atLeast"/>
        </w:trPr>
        <w:tc>
          <w:tcPr>
            <w:tcW w:w="830" w:type="dxa"/>
            <w:tcBorders>
              <w:left w:val="single" w:color="000000" w:sz="14" w:space="0"/>
            </w:tcBorders>
            <w:vAlign w:val="top"/>
          </w:tcPr>
          <w:p w14:paraId="40F04A88">
            <w:pPr>
              <w:pStyle w:val="27"/>
              <w:spacing w:line="244" w:lineRule="auto"/>
            </w:pPr>
          </w:p>
          <w:p w14:paraId="3993591D">
            <w:pPr>
              <w:spacing w:before="58" w:line="241" w:lineRule="auto"/>
              <w:ind w:left="367"/>
              <w:rPr>
                <w:rFonts w:ascii="宋体" w:hAnsi="宋体" w:eastAsia="宋体" w:cs="宋体"/>
                <w:sz w:val="18"/>
                <w:szCs w:val="18"/>
              </w:rPr>
            </w:pPr>
            <w:r>
              <w:rPr>
                <w:rFonts w:ascii="宋体" w:hAnsi="宋体" w:eastAsia="宋体" w:cs="宋体"/>
                <w:sz w:val="18"/>
                <w:szCs w:val="18"/>
              </w:rPr>
              <w:t>2</w:t>
            </w:r>
          </w:p>
        </w:tc>
        <w:tc>
          <w:tcPr>
            <w:tcW w:w="2280" w:type="dxa"/>
            <w:vAlign w:val="top"/>
          </w:tcPr>
          <w:p w14:paraId="34F04D46">
            <w:pPr>
              <w:pStyle w:val="27"/>
              <w:spacing w:line="244" w:lineRule="auto"/>
            </w:pPr>
          </w:p>
          <w:p w14:paraId="1A0A9D16">
            <w:pPr>
              <w:spacing w:before="59" w:line="220" w:lineRule="auto"/>
              <w:ind w:left="22"/>
              <w:rPr>
                <w:rFonts w:ascii="宋体" w:hAnsi="宋体" w:eastAsia="宋体" w:cs="宋体"/>
                <w:sz w:val="18"/>
                <w:szCs w:val="18"/>
              </w:rPr>
            </w:pPr>
            <w:r>
              <w:rPr>
                <w:rFonts w:ascii="宋体" w:hAnsi="宋体" w:eastAsia="宋体" w:cs="宋体"/>
                <w:spacing w:val="-4"/>
                <w:sz w:val="18"/>
                <w:szCs w:val="18"/>
              </w:rPr>
              <w:t>税金</w:t>
            </w:r>
          </w:p>
        </w:tc>
        <w:tc>
          <w:tcPr>
            <w:tcW w:w="3253" w:type="dxa"/>
            <w:vAlign w:val="top"/>
          </w:tcPr>
          <w:p w14:paraId="66BA5F63">
            <w:pPr>
              <w:spacing w:before="78" w:line="230" w:lineRule="auto"/>
              <w:ind w:left="39" w:right="151" w:hanging="7"/>
              <w:rPr>
                <w:rFonts w:ascii="宋体" w:hAnsi="宋体" w:eastAsia="宋体" w:cs="宋体"/>
                <w:sz w:val="18"/>
                <w:szCs w:val="18"/>
              </w:rPr>
            </w:pPr>
            <w:r>
              <w:rPr>
                <w:rFonts w:ascii="宋体" w:hAnsi="宋体" w:eastAsia="宋体" w:cs="宋体"/>
                <w:spacing w:val="-1"/>
                <w:sz w:val="18"/>
                <w:szCs w:val="18"/>
              </w:rPr>
              <w:t>分部分项工程费+措施项目费+其他项目费+规费-除税甲供材料和甲供设备费</w:t>
            </w:r>
          </w:p>
          <w:p w14:paraId="5DA3E581">
            <w:pPr>
              <w:spacing w:line="224" w:lineRule="auto"/>
              <w:ind w:left="29"/>
              <w:rPr>
                <w:rFonts w:ascii="宋体" w:hAnsi="宋体" w:eastAsia="宋体" w:cs="宋体"/>
                <w:sz w:val="18"/>
                <w:szCs w:val="18"/>
              </w:rPr>
            </w:pPr>
            <w:r>
              <w:rPr>
                <w:rFonts w:ascii="宋体" w:hAnsi="宋体" w:eastAsia="宋体" w:cs="宋体"/>
                <w:spacing w:val="-1"/>
                <w:sz w:val="18"/>
                <w:szCs w:val="18"/>
              </w:rPr>
              <w:t>/1.01</w:t>
            </w:r>
          </w:p>
        </w:tc>
        <w:tc>
          <w:tcPr>
            <w:tcW w:w="1619" w:type="dxa"/>
            <w:vAlign w:val="top"/>
          </w:tcPr>
          <w:p w14:paraId="0BE7609E">
            <w:pPr>
              <w:pStyle w:val="27"/>
            </w:pPr>
          </w:p>
        </w:tc>
        <w:tc>
          <w:tcPr>
            <w:tcW w:w="1210" w:type="dxa"/>
            <w:vAlign w:val="top"/>
          </w:tcPr>
          <w:p w14:paraId="51B5C5DA">
            <w:pPr>
              <w:pStyle w:val="27"/>
              <w:spacing w:line="244" w:lineRule="auto"/>
            </w:pPr>
          </w:p>
          <w:p w14:paraId="1645A0E2">
            <w:pPr>
              <w:spacing w:before="58" w:line="239" w:lineRule="auto"/>
              <w:ind w:right="2"/>
              <w:jc w:val="right"/>
              <w:rPr>
                <w:rFonts w:ascii="宋体" w:hAnsi="宋体" w:eastAsia="宋体" w:cs="宋体"/>
                <w:sz w:val="18"/>
                <w:szCs w:val="18"/>
              </w:rPr>
            </w:pPr>
            <w:r>
              <w:rPr>
                <w:rFonts w:ascii="宋体" w:hAnsi="宋体" w:eastAsia="宋体" w:cs="宋体"/>
                <w:spacing w:val="-1"/>
                <w:sz w:val="18"/>
                <w:szCs w:val="18"/>
              </w:rPr>
              <w:t>9.000</w:t>
            </w:r>
          </w:p>
        </w:tc>
        <w:tc>
          <w:tcPr>
            <w:tcW w:w="1141" w:type="dxa"/>
            <w:tcBorders>
              <w:right w:val="single" w:color="000000" w:sz="14" w:space="0"/>
            </w:tcBorders>
            <w:vAlign w:val="top"/>
          </w:tcPr>
          <w:p w14:paraId="308DA850">
            <w:pPr>
              <w:pStyle w:val="27"/>
            </w:pPr>
          </w:p>
        </w:tc>
      </w:tr>
      <w:tr w14:paraId="594FE1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5EF84EEA">
            <w:pPr>
              <w:pStyle w:val="27"/>
            </w:pPr>
          </w:p>
        </w:tc>
        <w:tc>
          <w:tcPr>
            <w:tcW w:w="2280" w:type="dxa"/>
            <w:vAlign w:val="top"/>
          </w:tcPr>
          <w:p w14:paraId="0B3D5A6D">
            <w:pPr>
              <w:pStyle w:val="27"/>
            </w:pPr>
          </w:p>
        </w:tc>
        <w:tc>
          <w:tcPr>
            <w:tcW w:w="3253" w:type="dxa"/>
            <w:vAlign w:val="top"/>
          </w:tcPr>
          <w:p w14:paraId="268B5726">
            <w:pPr>
              <w:pStyle w:val="27"/>
            </w:pPr>
          </w:p>
        </w:tc>
        <w:tc>
          <w:tcPr>
            <w:tcW w:w="1619" w:type="dxa"/>
            <w:vAlign w:val="top"/>
          </w:tcPr>
          <w:p w14:paraId="21E700C5">
            <w:pPr>
              <w:pStyle w:val="27"/>
            </w:pPr>
          </w:p>
        </w:tc>
        <w:tc>
          <w:tcPr>
            <w:tcW w:w="1210" w:type="dxa"/>
            <w:vAlign w:val="top"/>
          </w:tcPr>
          <w:p w14:paraId="4E4234FC">
            <w:pPr>
              <w:pStyle w:val="27"/>
            </w:pPr>
          </w:p>
        </w:tc>
        <w:tc>
          <w:tcPr>
            <w:tcW w:w="1141" w:type="dxa"/>
            <w:tcBorders>
              <w:right w:val="single" w:color="000000" w:sz="14" w:space="0"/>
            </w:tcBorders>
            <w:vAlign w:val="top"/>
          </w:tcPr>
          <w:p w14:paraId="6B407569">
            <w:pPr>
              <w:pStyle w:val="27"/>
            </w:pPr>
          </w:p>
        </w:tc>
      </w:tr>
      <w:tr w14:paraId="315B7C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528B2FF3">
            <w:pPr>
              <w:pStyle w:val="27"/>
            </w:pPr>
          </w:p>
        </w:tc>
        <w:tc>
          <w:tcPr>
            <w:tcW w:w="2280" w:type="dxa"/>
            <w:vAlign w:val="top"/>
          </w:tcPr>
          <w:p w14:paraId="06E7A3FA">
            <w:pPr>
              <w:pStyle w:val="27"/>
            </w:pPr>
          </w:p>
        </w:tc>
        <w:tc>
          <w:tcPr>
            <w:tcW w:w="3253" w:type="dxa"/>
            <w:vAlign w:val="top"/>
          </w:tcPr>
          <w:p w14:paraId="3E5694D3">
            <w:pPr>
              <w:pStyle w:val="27"/>
            </w:pPr>
          </w:p>
        </w:tc>
        <w:tc>
          <w:tcPr>
            <w:tcW w:w="1619" w:type="dxa"/>
            <w:vAlign w:val="top"/>
          </w:tcPr>
          <w:p w14:paraId="5269FAB8">
            <w:pPr>
              <w:pStyle w:val="27"/>
            </w:pPr>
          </w:p>
        </w:tc>
        <w:tc>
          <w:tcPr>
            <w:tcW w:w="1210" w:type="dxa"/>
            <w:vAlign w:val="top"/>
          </w:tcPr>
          <w:p w14:paraId="770830BD">
            <w:pPr>
              <w:pStyle w:val="27"/>
            </w:pPr>
          </w:p>
        </w:tc>
        <w:tc>
          <w:tcPr>
            <w:tcW w:w="1141" w:type="dxa"/>
            <w:tcBorders>
              <w:right w:val="single" w:color="000000" w:sz="14" w:space="0"/>
            </w:tcBorders>
            <w:vAlign w:val="top"/>
          </w:tcPr>
          <w:p w14:paraId="4C5CC69B">
            <w:pPr>
              <w:pStyle w:val="27"/>
            </w:pPr>
          </w:p>
        </w:tc>
      </w:tr>
      <w:tr w14:paraId="7FE84F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0948F75D">
            <w:pPr>
              <w:pStyle w:val="27"/>
            </w:pPr>
          </w:p>
        </w:tc>
        <w:tc>
          <w:tcPr>
            <w:tcW w:w="2280" w:type="dxa"/>
            <w:vAlign w:val="top"/>
          </w:tcPr>
          <w:p w14:paraId="03BD1071">
            <w:pPr>
              <w:pStyle w:val="27"/>
            </w:pPr>
          </w:p>
        </w:tc>
        <w:tc>
          <w:tcPr>
            <w:tcW w:w="3253" w:type="dxa"/>
            <w:vAlign w:val="top"/>
          </w:tcPr>
          <w:p w14:paraId="309D57B3">
            <w:pPr>
              <w:pStyle w:val="27"/>
            </w:pPr>
          </w:p>
        </w:tc>
        <w:tc>
          <w:tcPr>
            <w:tcW w:w="1619" w:type="dxa"/>
            <w:vAlign w:val="top"/>
          </w:tcPr>
          <w:p w14:paraId="1A0292B4">
            <w:pPr>
              <w:pStyle w:val="27"/>
            </w:pPr>
          </w:p>
        </w:tc>
        <w:tc>
          <w:tcPr>
            <w:tcW w:w="1210" w:type="dxa"/>
            <w:vAlign w:val="top"/>
          </w:tcPr>
          <w:p w14:paraId="716979B2">
            <w:pPr>
              <w:pStyle w:val="27"/>
            </w:pPr>
          </w:p>
        </w:tc>
        <w:tc>
          <w:tcPr>
            <w:tcW w:w="1141" w:type="dxa"/>
            <w:tcBorders>
              <w:right w:val="single" w:color="000000" w:sz="14" w:space="0"/>
            </w:tcBorders>
            <w:vAlign w:val="top"/>
          </w:tcPr>
          <w:p w14:paraId="5C6CA030">
            <w:pPr>
              <w:pStyle w:val="27"/>
            </w:pPr>
          </w:p>
        </w:tc>
      </w:tr>
      <w:tr w14:paraId="5A19EF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7D7EE8CE">
            <w:pPr>
              <w:pStyle w:val="27"/>
            </w:pPr>
          </w:p>
        </w:tc>
        <w:tc>
          <w:tcPr>
            <w:tcW w:w="2280" w:type="dxa"/>
            <w:vAlign w:val="top"/>
          </w:tcPr>
          <w:p w14:paraId="023E3058">
            <w:pPr>
              <w:pStyle w:val="27"/>
            </w:pPr>
          </w:p>
        </w:tc>
        <w:tc>
          <w:tcPr>
            <w:tcW w:w="3253" w:type="dxa"/>
            <w:vAlign w:val="top"/>
          </w:tcPr>
          <w:p w14:paraId="42A96700">
            <w:pPr>
              <w:pStyle w:val="27"/>
            </w:pPr>
          </w:p>
        </w:tc>
        <w:tc>
          <w:tcPr>
            <w:tcW w:w="1619" w:type="dxa"/>
            <w:vAlign w:val="top"/>
          </w:tcPr>
          <w:p w14:paraId="13CE7EDF">
            <w:pPr>
              <w:pStyle w:val="27"/>
            </w:pPr>
          </w:p>
        </w:tc>
        <w:tc>
          <w:tcPr>
            <w:tcW w:w="1210" w:type="dxa"/>
            <w:vAlign w:val="top"/>
          </w:tcPr>
          <w:p w14:paraId="2BA29F00">
            <w:pPr>
              <w:pStyle w:val="27"/>
            </w:pPr>
          </w:p>
        </w:tc>
        <w:tc>
          <w:tcPr>
            <w:tcW w:w="1141" w:type="dxa"/>
            <w:tcBorders>
              <w:right w:val="single" w:color="000000" w:sz="14" w:space="0"/>
            </w:tcBorders>
            <w:vAlign w:val="top"/>
          </w:tcPr>
          <w:p w14:paraId="53FCD625">
            <w:pPr>
              <w:pStyle w:val="27"/>
            </w:pPr>
          </w:p>
        </w:tc>
      </w:tr>
      <w:tr w14:paraId="2D26C4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2E0556E2">
            <w:pPr>
              <w:pStyle w:val="27"/>
            </w:pPr>
          </w:p>
        </w:tc>
        <w:tc>
          <w:tcPr>
            <w:tcW w:w="2280" w:type="dxa"/>
            <w:vAlign w:val="top"/>
          </w:tcPr>
          <w:p w14:paraId="6380BDBD">
            <w:pPr>
              <w:pStyle w:val="27"/>
            </w:pPr>
          </w:p>
        </w:tc>
        <w:tc>
          <w:tcPr>
            <w:tcW w:w="3253" w:type="dxa"/>
            <w:vAlign w:val="top"/>
          </w:tcPr>
          <w:p w14:paraId="532D1210">
            <w:pPr>
              <w:pStyle w:val="27"/>
            </w:pPr>
          </w:p>
        </w:tc>
        <w:tc>
          <w:tcPr>
            <w:tcW w:w="1619" w:type="dxa"/>
            <w:vAlign w:val="top"/>
          </w:tcPr>
          <w:p w14:paraId="65E74B67">
            <w:pPr>
              <w:pStyle w:val="27"/>
            </w:pPr>
          </w:p>
        </w:tc>
        <w:tc>
          <w:tcPr>
            <w:tcW w:w="1210" w:type="dxa"/>
            <w:vAlign w:val="top"/>
          </w:tcPr>
          <w:p w14:paraId="2AF7AA3A">
            <w:pPr>
              <w:pStyle w:val="27"/>
            </w:pPr>
          </w:p>
        </w:tc>
        <w:tc>
          <w:tcPr>
            <w:tcW w:w="1141" w:type="dxa"/>
            <w:tcBorders>
              <w:right w:val="single" w:color="000000" w:sz="14" w:space="0"/>
            </w:tcBorders>
            <w:vAlign w:val="top"/>
          </w:tcPr>
          <w:p w14:paraId="273993B6">
            <w:pPr>
              <w:pStyle w:val="27"/>
            </w:pPr>
          </w:p>
        </w:tc>
      </w:tr>
      <w:tr w14:paraId="62341A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5272934D">
            <w:pPr>
              <w:pStyle w:val="27"/>
            </w:pPr>
          </w:p>
        </w:tc>
        <w:tc>
          <w:tcPr>
            <w:tcW w:w="2280" w:type="dxa"/>
            <w:vAlign w:val="top"/>
          </w:tcPr>
          <w:p w14:paraId="547FABB0">
            <w:pPr>
              <w:pStyle w:val="27"/>
            </w:pPr>
          </w:p>
        </w:tc>
        <w:tc>
          <w:tcPr>
            <w:tcW w:w="3253" w:type="dxa"/>
            <w:vAlign w:val="top"/>
          </w:tcPr>
          <w:p w14:paraId="0E3DD629">
            <w:pPr>
              <w:pStyle w:val="27"/>
            </w:pPr>
          </w:p>
        </w:tc>
        <w:tc>
          <w:tcPr>
            <w:tcW w:w="1619" w:type="dxa"/>
            <w:vAlign w:val="top"/>
          </w:tcPr>
          <w:p w14:paraId="574FD5DE">
            <w:pPr>
              <w:pStyle w:val="27"/>
            </w:pPr>
          </w:p>
        </w:tc>
        <w:tc>
          <w:tcPr>
            <w:tcW w:w="1210" w:type="dxa"/>
            <w:vAlign w:val="top"/>
          </w:tcPr>
          <w:p w14:paraId="673E5DC6">
            <w:pPr>
              <w:pStyle w:val="27"/>
            </w:pPr>
          </w:p>
        </w:tc>
        <w:tc>
          <w:tcPr>
            <w:tcW w:w="1141" w:type="dxa"/>
            <w:tcBorders>
              <w:right w:val="single" w:color="000000" w:sz="14" w:space="0"/>
            </w:tcBorders>
            <w:vAlign w:val="top"/>
          </w:tcPr>
          <w:p w14:paraId="06A88769">
            <w:pPr>
              <w:pStyle w:val="27"/>
            </w:pPr>
          </w:p>
        </w:tc>
      </w:tr>
      <w:tr w14:paraId="65B8F8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25EC6E8F">
            <w:pPr>
              <w:pStyle w:val="27"/>
            </w:pPr>
          </w:p>
        </w:tc>
        <w:tc>
          <w:tcPr>
            <w:tcW w:w="2280" w:type="dxa"/>
            <w:vAlign w:val="top"/>
          </w:tcPr>
          <w:p w14:paraId="53EEBCF2">
            <w:pPr>
              <w:pStyle w:val="27"/>
            </w:pPr>
          </w:p>
        </w:tc>
        <w:tc>
          <w:tcPr>
            <w:tcW w:w="3253" w:type="dxa"/>
            <w:vAlign w:val="top"/>
          </w:tcPr>
          <w:p w14:paraId="79607CD1">
            <w:pPr>
              <w:pStyle w:val="27"/>
            </w:pPr>
          </w:p>
        </w:tc>
        <w:tc>
          <w:tcPr>
            <w:tcW w:w="1619" w:type="dxa"/>
            <w:vAlign w:val="top"/>
          </w:tcPr>
          <w:p w14:paraId="55382CDA">
            <w:pPr>
              <w:pStyle w:val="27"/>
            </w:pPr>
          </w:p>
        </w:tc>
        <w:tc>
          <w:tcPr>
            <w:tcW w:w="1210" w:type="dxa"/>
            <w:vAlign w:val="top"/>
          </w:tcPr>
          <w:p w14:paraId="329E316D">
            <w:pPr>
              <w:pStyle w:val="27"/>
            </w:pPr>
          </w:p>
        </w:tc>
        <w:tc>
          <w:tcPr>
            <w:tcW w:w="1141" w:type="dxa"/>
            <w:tcBorders>
              <w:right w:val="single" w:color="000000" w:sz="14" w:space="0"/>
            </w:tcBorders>
            <w:vAlign w:val="top"/>
          </w:tcPr>
          <w:p w14:paraId="29A34B04">
            <w:pPr>
              <w:pStyle w:val="27"/>
            </w:pPr>
          </w:p>
        </w:tc>
      </w:tr>
      <w:tr w14:paraId="4EB47F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02E33B04">
            <w:pPr>
              <w:pStyle w:val="27"/>
            </w:pPr>
          </w:p>
        </w:tc>
        <w:tc>
          <w:tcPr>
            <w:tcW w:w="2280" w:type="dxa"/>
            <w:vAlign w:val="top"/>
          </w:tcPr>
          <w:p w14:paraId="5275F9A0">
            <w:pPr>
              <w:pStyle w:val="27"/>
            </w:pPr>
          </w:p>
        </w:tc>
        <w:tc>
          <w:tcPr>
            <w:tcW w:w="3253" w:type="dxa"/>
            <w:vAlign w:val="top"/>
          </w:tcPr>
          <w:p w14:paraId="6289449D">
            <w:pPr>
              <w:pStyle w:val="27"/>
            </w:pPr>
          </w:p>
        </w:tc>
        <w:tc>
          <w:tcPr>
            <w:tcW w:w="1619" w:type="dxa"/>
            <w:vAlign w:val="top"/>
          </w:tcPr>
          <w:p w14:paraId="0197F0B0">
            <w:pPr>
              <w:pStyle w:val="27"/>
            </w:pPr>
          </w:p>
        </w:tc>
        <w:tc>
          <w:tcPr>
            <w:tcW w:w="1210" w:type="dxa"/>
            <w:vAlign w:val="top"/>
          </w:tcPr>
          <w:p w14:paraId="09C02D4C">
            <w:pPr>
              <w:pStyle w:val="27"/>
            </w:pPr>
          </w:p>
        </w:tc>
        <w:tc>
          <w:tcPr>
            <w:tcW w:w="1141" w:type="dxa"/>
            <w:tcBorders>
              <w:right w:val="single" w:color="000000" w:sz="14" w:space="0"/>
            </w:tcBorders>
            <w:vAlign w:val="top"/>
          </w:tcPr>
          <w:p w14:paraId="14D1ABE7">
            <w:pPr>
              <w:pStyle w:val="27"/>
            </w:pPr>
          </w:p>
        </w:tc>
      </w:tr>
      <w:tr w14:paraId="3A1941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14B63E31">
            <w:pPr>
              <w:pStyle w:val="27"/>
            </w:pPr>
          </w:p>
        </w:tc>
        <w:tc>
          <w:tcPr>
            <w:tcW w:w="2280" w:type="dxa"/>
            <w:vAlign w:val="top"/>
          </w:tcPr>
          <w:p w14:paraId="555239B4">
            <w:pPr>
              <w:pStyle w:val="27"/>
            </w:pPr>
          </w:p>
        </w:tc>
        <w:tc>
          <w:tcPr>
            <w:tcW w:w="3253" w:type="dxa"/>
            <w:vAlign w:val="top"/>
          </w:tcPr>
          <w:p w14:paraId="1965C55E">
            <w:pPr>
              <w:pStyle w:val="27"/>
            </w:pPr>
          </w:p>
        </w:tc>
        <w:tc>
          <w:tcPr>
            <w:tcW w:w="1619" w:type="dxa"/>
            <w:vAlign w:val="top"/>
          </w:tcPr>
          <w:p w14:paraId="78892A4A">
            <w:pPr>
              <w:pStyle w:val="27"/>
            </w:pPr>
          </w:p>
        </w:tc>
        <w:tc>
          <w:tcPr>
            <w:tcW w:w="1210" w:type="dxa"/>
            <w:vAlign w:val="top"/>
          </w:tcPr>
          <w:p w14:paraId="1AE179F1">
            <w:pPr>
              <w:pStyle w:val="27"/>
            </w:pPr>
          </w:p>
        </w:tc>
        <w:tc>
          <w:tcPr>
            <w:tcW w:w="1141" w:type="dxa"/>
            <w:tcBorders>
              <w:right w:val="single" w:color="000000" w:sz="14" w:space="0"/>
            </w:tcBorders>
            <w:vAlign w:val="top"/>
          </w:tcPr>
          <w:p w14:paraId="12059937">
            <w:pPr>
              <w:pStyle w:val="27"/>
            </w:pPr>
          </w:p>
        </w:tc>
      </w:tr>
      <w:tr w14:paraId="65B625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4589145A">
            <w:pPr>
              <w:pStyle w:val="27"/>
            </w:pPr>
          </w:p>
        </w:tc>
        <w:tc>
          <w:tcPr>
            <w:tcW w:w="2280" w:type="dxa"/>
            <w:vAlign w:val="top"/>
          </w:tcPr>
          <w:p w14:paraId="378EE5DD">
            <w:pPr>
              <w:pStyle w:val="27"/>
            </w:pPr>
          </w:p>
        </w:tc>
        <w:tc>
          <w:tcPr>
            <w:tcW w:w="3253" w:type="dxa"/>
            <w:vAlign w:val="top"/>
          </w:tcPr>
          <w:p w14:paraId="6EAA75BA">
            <w:pPr>
              <w:pStyle w:val="27"/>
            </w:pPr>
          </w:p>
        </w:tc>
        <w:tc>
          <w:tcPr>
            <w:tcW w:w="1619" w:type="dxa"/>
            <w:vAlign w:val="top"/>
          </w:tcPr>
          <w:p w14:paraId="7CD7BFC3">
            <w:pPr>
              <w:pStyle w:val="27"/>
            </w:pPr>
          </w:p>
        </w:tc>
        <w:tc>
          <w:tcPr>
            <w:tcW w:w="1210" w:type="dxa"/>
            <w:vAlign w:val="top"/>
          </w:tcPr>
          <w:p w14:paraId="4B848730">
            <w:pPr>
              <w:pStyle w:val="27"/>
            </w:pPr>
          </w:p>
        </w:tc>
        <w:tc>
          <w:tcPr>
            <w:tcW w:w="1141" w:type="dxa"/>
            <w:tcBorders>
              <w:right w:val="single" w:color="000000" w:sz="14" w:space="0"/>
            </w:tcBorders>
            <w:vAlign w:val="top"/>
          </w:tcPr>
          <w:p w14:paraId="35A3994C">
            <w:pPr>
              <w:pStyle w:val="27"/>
            </w:pPr>
          </w:p>
        </w:tc>
      </w:tr>
      <w:tr w14:paraId="55D5E5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68FC104B">
            <w:pPr>
              <w:pStyle w:val="27"/>
            </w:pPr>
          </w:p>
        </w:tc>
        <w:tc>
          <w:tcPr>
            <w:tcW w:w="2280" w:type="dxa"/>
            <w:vAlign w:val="top"/>
          </w:tcPr>
          <w:p w14:paraId="60DFB1CA">
            <w:pPr>
              <w:pStyle w:val="27"/>
            </w:pPr>
          </w:p>
        </w:tc>
        <w:tc>
          <w:tcPr>
            <w:tcW w:w="3253" w:type="dxa"/>
            <w:vAlign w:val="top"/>
          </w:tcPr>
          <w:p w14:paraId="0CF0DFFD">
            <w:pPr>
              <w:pStyle w:val="27"/>
            </w:pPr>
          </w:p>
        </w:tc>
        <w:tc>
          <w:tcPr>
            <w:tcW w:w="1619" w:type="dxa"/>
            <w:vAlign w:val="top"/>
          </w:tcPr>
          <w:p w14:paraId="44B1B395">
            <w:pPr>
              <w:pStyle w:val="27"/>
            </w:pPr>
          </w:p>
        </w:tc>
        <w:tc>
          <w:tcPr>
            <w:tcW w:w="1210" w:type="dxa"/>
            <w:vAlign w:val="top"/>
          </w:tcPr>
          <w:p w14:paraId="725477FE">
            <w:pPr>
              <w:pStyle w:val="27"/>
            </w:pPr>
          </w:p>
        </w:tc>
        <w:tc>
          <w:tcPr>
            <w:tcW w:w="1141" w:type="dxa"/>
            <w:tcBorders>
              <w:right w:val="single" w:color="000000" w:sz="14" w:space="0"/>
            </w:tcBorders>
            <w:vAlign w:val="top"/>
          </w:tcPr>
          <w:p w14:paraId="41DCD94E">
            <w:pPr>
              <w:pStyle w:val="27"/>
            </w:pPr>
          </w:p>
        </w:tc>
      </w:tr>
      <w:tr w14:paraId="69A626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11FFB3FB">
            <w:pPr>
              <w:pStyle w:val="27"/>
            </w:pPr>
          </w:p>
        </w:tc>
        <w:tc>
          <w:tcPr>
            <w:tcW w:w="2280" w:type="dxa"/>
            <w:vAlign w:val="top"/>
          </w:tcPr>
          <w:p w14:paraId="0739943D">
            <w:pPr>
              <w:pStyle w:val="27"/>
            </w:pPr>
          </w:p>
        </w:tc>
        <w:tc>
          <w:tcPr>
            <w:tcW w:w="3253" w:type="dxa"/>
            <w:vAlign w:val="top"/>
          </w:tcPr>
          <w:p w14:paraId="455EF4F0">
            <w:pPr>
              <w:pStyle w:val="27"/>
            </w:pPr>
          </w:p>
        </w:tc>
        <w:tc>
          <w:tcPr>
            <w:tcW w:w="1619" w:type="dxa"/>
            <w:vAlign w:val="top"/>
          </w:tcPr>
          <w:p w14:paraId="1F66B65B">
            <w:pPr>
              <w:pStyle w:val="27"/>
            </w:pPr>
          </w:p>
        </w:tc>
        <w:tc>
          <w:tcPr>
            <w:tcW w:w="1210" w:type="dxa"/>
            <w:vAlign w:val="top"/>
          </w:tcPr>
          <w:p w14:paraId="4725F1BB">
            <w:pPr>
              <w:pStyle w:val="27"/>
            </w:pPr>
          </w:p>
        </w:tc>
        <w:tc>
          <w:tcPr>
            <w:tcW w:w="1141" w:type="dxa"/>
            <w:tcBorders>
              <w:right w:val="single" w:color="000000" w:sz="14" w:space="0"/>
            </w:tcBorders>
            <w:vAlign w:val="top"/>
          </w:tcPr>
          <w:p w14:paraId="42C2CCA4">
            <w:pPr>
              <w:pStyle w:val="27"/>
            </w:pPr>
          </w:p>
        </w:tc>
      </w:tr>
      <w:tr w14:paraId="28E8B8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311BB3F8">
            <w:pPr>
              <w:pStyle w:val="27"/>
            </w:pPr>
          </w:p>
        </w:tc>
        <w:tc>
          <w:tcPr>
            <w:tcW w:w="2280" w:type="dxa"/>
            <w:vAlign w:val="top"/>
          </w:tcPr>
          <w:p w14:paraId="3C8040FD">
            <w:pPr>
              <w:pStyle w:val="27"/>
            </w:pPr>
          </w:p>
        </w:tc>
        <w:tc>
          <w:tcPr>
            <w:tcW w:w="3253" w:type="dxa"/>
            <w:vAlign w:val="top"/>
          </w:tcPr>
          <w:p w14:paraId="7C6E2FC5">
            <w:pPr>
              <w:pStyle w:val="27"/>
            </w:pPr>
          </w:p>
        </w:tc>
        <w:tc>
          <w:tcPr>
            <w:tcW w:w="1619" w:type="dxa"/>
            <w:vAlign w:val="top"/>
          </w:tcPr>
          <w:p w14:paraId="23AD3ECD">
            <w:pPr>
              <w:pStyle w:val="27"/>
            </w:pPr>
          </w:p>
        </w:tc>
        <w:tc>
          <w:tcPr>
            <w:tcW w:w="1210" w:type="dxa"/>
            <w:vAlign w:val="top"/>
          </w:tcPr>
          <w:p w14:paraId="39D84AAB">
            <w:pPr>
              <w:pStyle w:val="27"/>
            </w:pPr>
          </w:p>
        </w:tc>
        <w:tc>
          <w:tcPr>
            <w:tcW w:w="1141" w:type="dxa"/>
            <w:tcBorders>
              <w:right w:val="single" w:color="000000" w:sz="14" w:space="0"/>
            </w:tcBorders>
            <w:vAlign w:val="top"/>
          </w:tcPr>
          <w:p w14:paraId="30333767">
            <w:pPr>
              <w:pStyle w:val="27"/>
            </w:pPr>
          </w:p>
        </w:tc>
      </w:tr>
      <w:tr w14:paraId="25146A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2A331878">
            <w:pPr>
              <w:pStyle w:val="27"/>
            </w:pPr>
          </w:p>
        </w:tc>
        <w:tc>
          <w:tcPr>
            <w:tcW w:w="2280" w:type="dxa"/>
            <w:vAlign w:val="top"/>
          </w:tcPr>
          <w:p w14:paraId="5C77BAB8">
            <w:pPr>
              <w:pStyle w:val="27"/>
            </w:pPr>
          </w:p>
        </w:tc>
        <w:tc>
          <w:tcPr>
            <w:tcW w:w="3253" w:type="dxa"/>
            <w:vAlign w:val="top"/>
          </w:tcPr>
          <w:p w14:paraId="28EC3633">
            <w:pPr>
              <w:pStyle w:val="27"/>
            </w:pPr>
          </w:p>
        </w:tc>
        <w:tc>
          <w:tcPr>
            <w:tcW w:w="1619" w:type="dxa"/>
            <w:vAlign w:val="top"/>
          </w:tcPr>
          <w:p w14:paraId="4335F757">
            <w:pPr>
              <w:pStyle w:val="27"/>
            </w:pPr>
          </w:p>
        </w:tc>
        <w:tc>
          <w:tcPr>
            <w:tcW w:w="1210" w:type="dxa"/>
            <w:vAlign w:val="top"/>
          </w:tcPr>
          <w:p w14:paraId="260B0925">
            <w:pPr>
              <w:pStyle w:val="27"/>
            </w:pPr>
          </w:p>
        </w:tc>
        <w:tc>
          <w:tcPr>
            <w:tcW w:w="1141" w:type="dxa"/>
            <w:tcBorders>
              <w:right w:val="single" w:color="000000" w:sz="14" w:space="0"/>
            </w:tcBorders>
            <w:vAlign w:val="top"/>
          </w:tcPr>
          <w:p w14:paraId="60A16A96">
            <w:pPr>
              <w:pStyle w:val="27"/>
            </w:pPr>
          </w:p>
        </w:tc>
      </w:tr>
      <w:tr w14:paraId="6C82DD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694B78A0">
            <w:pPr>
              <w:pStyle w:val="27"/>
            </w:pPr>
          </w:p>
        </w:tc>
        <w:tc>
          <w:tcPr>
            <w:tcW w:w="2280" w:type="dxa"/>
            <w:vAlign w:val="top"/>
          </w:tcPr>
          <w:p w14:paraId="51B5D93A">
            <w:pPr>
              <w:pStyle w:val="27"/>
            </w:pPr>
          </w:p>
        </w:tc>
        <w:tc>
          <w:tcPr>
            <w:tcW w:w="3253" w:type="dxa"/>
            <w:vAlign w:val="top"/>
          </w:tcPr>
          <w:p w14:paraId="5AC2472F">
            <w:pPr>
              <w:pStyle w:val="27"/>
            </w:pPr>
          </w:p>
        </w:tc>
        <w:tc>
          <w:tcPr>
            <w:tcW w:w="1619" w:type="dxa"/>
            <w:vAlign w:val="top"/>
          </w:tcPr>
          <w:p w14:paraId="02FE1876">
            <w:pPr>
              <w:pStyle w:val="27"/>
            </w:pPr>
          </w:p>
        </w:tc>
        <w:tc>
          <w:tcPr>
            <w:tcW w:w="1210" w:type="dxa"/>
            <w:vAlign w:val="top"/>
          </w:tcPr>
          <w:p w14:paraId="4F5AE301">
            <w:pPr>
              <w:pStyle w:val="27"/>
            </w:pPr>
          </w:p>
        </w:tc>
        <w:tc>
          <w:tcPr>
            <w:tcW w:w="1141" w:type="dxa"/>
            <w:tcBorders>
              <w:right w:val="single" w:color="000000" w:sz="14" w:space="0"/>
            </w:tcBorders>
            <w:vAlign w:val="top"/>
          </w:tcPr>
          <w:p w14:paraId="1A3A988B">
            <w:pPr>
              <w:pStyle w:val="27"/>
            </w:pPr>
          </w:p>
        </w:tc>
      </w:tr>
      <w:tr w14:paraId="708575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26EF1CBF">
            <w:pPr>
              <w:pStyle w:val="27"/>
            </w:pPr>
          </w:p>
        </w:tc>
        <w:tc>
          <w:tcPr>
            <w:tcW w:w="2280" w:type="dxa"/>
            <w:vAlign w:val="top"/>
          </w:tcPr>
          <w:p w14:paraId="414FF0F0">
            <w:pPr>
              <w:pStyle w:val="27"/>
            </w:pPr>
          </w:p>
        </w:tc>
        <w:tc>
          <w:tcPr>
            <w:tcW w:w="3253" w:type="dxa"/>
            <w:vAlign w:val="top"/>
          </w:tcPr>
          <w:p w14:paraId="059F7F0A">
            <w:pPr>
              <w:pStyle w:val="27"/>
            </w:pPr>
          </w:p>
        </w:tc>
        <w:tc>
          <w:tcPr>
            <w:tcW w:w="1619" w:type="dxa"/>
            <w:vAlign w:val="top"/>
          </w:tcPr>
          <w:p w14:paraId="19217889">
            <w:pPr>
              <w:pStyle w:val="27"/>
            </w:pPr>
          </w:p>
        </w:tc>
        <w:tc>
          <w:tcPr>
            <w:tcW w:w="1210" w:type="dxa"/>
            <w:vAlign w:val="top"/>
          </w:tcPr>
          <w:p w14:paraId="18243601">
            <w:pPr>
              <w:pStyle w:val="27"/>
            </w:pPr>
          </w:p>
        </w:tc>
        <w:tc>
          <w:tcPr>
            <w:tcW w:w="1141" w:type="dxa"/>
            <w:tcBorders>
              <w:right w:val="single" w:color="000000" w:sz="14" w:space="0"/>
            </w:tcBorders>
            <w:vAlign w:val="top"/>
          </w:tcPr>
          <w:p w14:paraId="066B0803">
            <w:pPr>
              <w:pStyle w:val="27"/>
            </w:pPr>
          </w:p>
        </w:tc>
      </w:tr>
      <w:tr w14:paraId="2864AD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62D11BB6">
            <w:pPr>
              <w:pStyle w:val="27"/>
            </w:pPr>
          </w:p>
        </w:tc>
        <w:tc>
          <w:tcPr>
            <w:tcW w:w="2280" w:type="dxa"/>
            <w:vAlign w:val="top"/>
          </w:tcPr>
          <w:p w14:paraId="1B856A3B">
            <w:pPr>
              <w:pStyle w:val="27"/>
            </w:pPr>
          </w:p>
        </w:tc>
        <w:tc>
          <w:tcPr>
            <w:tcW w:w="3253" w:type="dxa"/>
            <w:vAlign w:val="top"/>
          </w:tcPr>
          <w:p w14:paraId="1647F878">
            <w:pPr>
              <w:pStyle w:val="27"/>
            </w:pPr>
          </w:p>
        </w:tc>
        <w:tc>
          <w:tcPr>
            <w:tcW w:w="1619" w:type="dxa"/>
            <w:vAlign w:val="top"/>
          </w:tcPr>
          <w:p w14:paraId="777860E1">
            <w:pPr>
              <w:pStyle w:val="27"/>
            </w:pPr>
          </w:p>
        </w:tc>
        <w:tc>
          <w:tcPr>
            <w:tcW w:w="1210" w:type="dxa"/>
            <w:vAlign w:val="top"/>
          </w:tcPr>
          <w:p w14:paraId="6C03B68F">
            <w:pPr>
              <w:pStyle w:val="27"/>
            </w:pPr>
          </w:p>
        </w:tc>
        <w:tc>
          <w:tcPr>
            <w:tcW w:w="1141" w:type="dxa"/>
            <w:tcBorders>
              <w:right w:val="single" w:color="000000" w:sz="14" w:space="0"/>
            </w:tcBorders>
            <w:vAlign w:val="top"/>
          </w:tcPr>
          <w:p w14:paraId="2246887D">
            <w:pPr>
              <w:pStyle w:val="27"/>
            </w:pPr>
          </w:p>
        </w:tc>
      </w:tr>
      <w:tr w14:paraId="7BA5AE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5EFC7187">
            <w:pPr>
              <w:pStyle w:val="27"/>
            </w:pPr>
          </w:p>
        </w:tc>
        <w:tc>
          <w:tcPr>
            <w:tcW w:w="2280" w:type="dxa"/>
            <w:vAlign w:val="top"/>
          </w:tcPr>
          <w:p w14:paraId="1C5F462A">
            <w:pPr>
              <w:pStyle w:val="27"/>
            </w:pPr>
          </w:p>
        </w:tc>
        <w:tc>
          <w:tcPr>
            <w:tcW w:w="3253" w:type="dxa"/>
            <w:vAlign w:val="top"/>
          </w:tcPr>
          <w:p w14:paraId="12CC4BA7">
            <w:pPr>
              <w:pStyle w:val="27"/>
            </w:pPr>
          </w:p>
        </w:tc>
        <w:tc>
          <w:tcPr>
            <w:tcW w:w="1619" w:type="dxa"/>
            <w:vAlign w:val="top"/>
          </w:tcPr>
          <w:p w14:paraId="1B4C1E07">
            <w:pPr>
              <w:pStyle w:val="27"/>
            </w:pPr>
          </w:p>
        </w:tc>
        <w:tc>
          <w:tcPr>
            <w:tcW w:w="1210" w:type="dxa"/>
            <w:vAlign w:val="top"/>
          </w:tcPr>
          <w:p w14:paraId="7704C2C8">
            <w:pPr>
              <w:pStyle w:val="27"/>
            </w:pPr>
          </w:p>
        </w:tc>
        <w:tc>
          <w:tcPr>
            <w:tcW w:w="1141" w:type="dxa"/>
            <w:tcBorders>
              <w:right w:val="single" w:color="000000" w:sz="14" w:space="0"/>
            </w:tcBorders>
            <w:vAlign w:val="top"/>
          </w:tcPr>
          <w:p w14:paraId="06E233DC">
            <w:pPr>
              <w:pStyle w:val="27"/>
            </w:pPr>
          </w:p>
        </w:tc>
      </w:tr>
      <w:tr w14:paraId="230447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742535A8">
            <w:pPr>
              <w:pStyle w:val="27"/>
            </w:pPr>
          </w:p>
        </w:tc>
        <w:tc>
          <w:tcPr>
            <w:tcW w:w="2280" w:type="dxa"/>
            <w:vAlign w:val="top"/>
          </w:tcPr>
          <w:p w14:paraId="0CC3B4B4">
            <w:pPr>
              <w:pStyle w:val="27"/>
            </w:pPr>
          </w:p>
        </w:tc>
        <w:tc>
          <w:tcPr>
            <w:tcW w:w="3253" w:type="dxa"/>
            <w:vAlign w:val="top"/>
          </w:tcPr>
          <w:p w14:paraId="73FB259C">
            <w:pPr>
              <w:pStyle w:val="27"/>
            </w:pPr>
          </w:p>
        </w:tc>
        <w:tc>
          <w:tcPr>
            <w:tcW w:w="1619" w:type="dxa"/>
            <w:vAlign w:val="top"/>
          </w:tcPr>
          <w:p w14:paraId="24387640">
            <w:pPr>
              <w:pStyle w:val="27"/>
            </w:pPr>
          </w:p>
        </w:tc>
        <w:tc>
          <w:tcPr>
            <w:tcW w:w="1210" w:type="dxa"/>
            <w:vAlign w:val="top"/>
          </w:tcPr>
          <w:p w14:paraId="46BA426B">
            <w:pPr>
              <w:pStyle w:val="27"/>
            </w:pPr>
          </w:p>
        </w:tc>
        <w:tc>
          <w:tcPr>
            <w:tcW w:w="1141" w:type="dxa"/>
            <w:tcBorders>
              <w:right w:val="single" w:color="000000" w:sz="14" w:space="0"/>
            </w:tcBorders>
            <w:vAlign w:val="top"/>
          </w:tcPr>
          <w:p w14:paraId="03271A41">
            <w:pPr>
              <w:pStyle w:val="27"/>
            </w:pPr>
          </w:p>
        </w:tc>
      </w:tr>
      <w:tr w14:paraId="4EACBD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178AF390">
            <w:pPr>
              <w:pStyle w:val="27"/>
            </w:pPr>
          </w:p>
        </w:tc>
        <w:tc>
          <w:tcPr>
            <w:tcW w:w="2280" w:type="dxa"/>
            <w:vAlign w:val="top"/>
          </w:tcPr>
          <w:p w14:paraId="689171A7">
            <w:pPr>
              <w:pStyle w:val="27"/>
            </w:pPr>
          </w:p>
        </w:tc>
        <w:tc>
          <w:tcPr>
            <w:tcW w:w="3253" w:type="dxa"/>
            <w:vAlign w:val="top"/>
          </w:tcPr>
          <w:p w14:paraId="4B061CF4">
            <w:pPr>
              <w:pStyle w:val="27"/>
            </w:pPr>
          </w:p>
        </w:tc>
        <w:tc>
          <w:tcPr>
            <w:tcW w:w="1619" w:type="dxa"/>
            <w:vAlign w:val="top"/>
          </w:tcPr>
          <w:p w14:paraId="21799179">
            <w:pPr>
              <w:pStyle w:val="27"/>
            </w:pPr>
          </w:p>
        </w:tc>
        <w:tc>
          <w:tcPr>
            <w:tcW w:w="1210" w:type="dxa"/>
            <w:vAlign w:val="top"/>
          </w:tcPr>
          <w:p w14:paraId="6D03214D">
            <w:pPr>
              <w:pStyle w:val="27"/>
            </w:pPr>
          </w:p>
        </w:tc>
        <w:tc>
          <w:tcPr>
            <w:tcW w:w="1141" w:type="dxa"/>
            <w:tcBorders>
              <w:right w:val="single" w:color="000000" w:sz="14" w:space="0"/>
            </w:tcBorders>
            <w:vAlign w:val="top"/>
          </w:tcPr>
          <w:p w14:paraId="7DE0C5A4">
            <w:pPr>
              <w:pStyle w:val="27"/>
            </w:pPr>
          </w:p>
        </w:tc>
      </w:tr>
      <w:tr w14:paraId="3AFCBF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39814844">
            <w:pPr>
              <w:pStyle w:val="27"/>
            </w:pPr>
          </w:p>
        </w:tc>
        <w:tc>
          <w:tcPr>
            <w:tcW w:w="2280" w:type="dxa"/>
            <w:vAlign w:val="top"/>
          </w:tcPr>
          <w:p w14:paraId="21BA598B">
            <w:pPr>
              <w:pStyle w:val="27"/>
            </w:pPr>
          </w:p>
        </w:tc>
        <w:tc>
          <w:tcPr>
            <w:tcW w:w="3253" w:type="dxa"/>
            <w:vAlign w:val="top"/>
          </w:tcPr>
          <w:p w14:paraId="0DA32501">
            <w:pPr>
              <w:pStyle w:val="27"/>
            </w:pPr>
          </w:p>
        </w:tc>
        <w:tc>
          <w:tcPr>
            <w:tcW w:w="1619" w:type="dxa"/>
            <w:vAlign w:val="top"/>
          </w:tcPr>
          <w:p w14:paraId="448713E7">
            <w:pPr>
              <w:pStyle w:val="27"/>
            </w:pPr>
          </w:p>
        </w:tc>
        <w:tc>
          <w:tcPr>
            <w:tcW w:w="1210" w:type="dxa"/>
            <w:vAlign w:val="top"/>
          </w:tcPr>
          <w:p w14:paraId="3DC74E94">
            <w:pPr>
              <w:pStyle w:val="27"/>
            </w:pPr>
          </w:p>
        </w:tc>
        <w:tc>
          <w:tcPr>
            <w:tcW w:w="1141" w:type="dxa"/>
            <w:tcBorders>
              <w:right w:val="single" w:color="000000" w:sz="14" w:space="0"/>
            </w:tcBorders>
            <w:vAlign w:val="top"/>
          </w:tcPr>
          <w:p w14:paraId="2BC34D69">
            <w:pPr>
              <w:pStyle w:val="27"/>
            </w:pPr>
          </w:p>
        </w:tc>
      </w:tr>
      <w:tr w14:paraId="49FBF0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32DABB9D">
            <w:pPr>
              <w:pStyle w:val="27"/>
            </w:pPr>
          </w:p>
        </w:tc>
        <w:tc>
          <w:tcPr>
            <w:tcW w:w="2280" w:type="dxa"/>
            <w:vAlign w:val="top"/>
          </w:tcPr>
          <w:p w14:paraId="63019D52">
            <w:pPr>
              <w:pStyle w:val="27"/>
            </w:pPr>
          </w:p>
        </w:tc>
        <w:tc>
          <w:tcPr>
            <w:tcW w:w="3253" w:type="dxa"/>
            <w:vAlign w:val="top"/>
          </w:tcPr>
          <w:p w14:paraId="0D41C792">
            <w:pPr>
              <w:pStyle w:val="27"/>
            </w:pPr>
          </w:p>
        </w:tc>
        <w:tc>
          <w:tcPr>
            <w:tcW w:w="1619" w:type="dxa"/>
            <w:vAlign w:val="top"/>
          </w:tcPr>
          <w:p w14:paraId="7F2D35C5">
            <w:pPr>
              <w:pStyle w:val="27"/>
            </w:pPr>
          </w:p>
        </w:tc>
        <w:tc>
          <w:tcPr>
            <w:tcW w:w="1210" w:type="dxa"/>
            <w:vAlign w:val="top"/>
          </w:tcPr>
          <w:p w14:paraId="2656C36B">
            <w:pPr>
              <w:pStyle w:val="27"/>
            </w:pPr>
          </w:p>
        </w:tc>
        <w:tc>
          <w:tcPr>
            <w:tcW w:w="1141" w:type="dxa"/>
            <w:tcBorders>
              <w:right w:val="single" w:color="000000" w:sz="14" w:space="0"/>
            </w:tcBorders>
            <w:vAlign w:val="top"/>
          </w:tcPr>
          <w:p w14:paraId="0ABA743F">
            <w:pPr>
              <w:pStyle w:val="27"/>
            </w:pPr>
          </w:p>
        </w:tc>
      </w:tr>
      <w:tr w14:paraId="49C93F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4700E339">
            <w:pPr>
              <w:pStyle w:val="27"/>
            </w:pPr>
          </w:p>
        </w:tc>
        <w:tc>
          <w:tcPr>
            <w:tcW w:w="2280" w:type="dxa"/>
            <w:vAlign w:val="top"/>
          </w:tcPr>
          <w:p w14:paraId="42B28AE3">
            <w:pPr>
              <w:pStyle w:val="27"/>
            </w:pPr>
          </w:p>
        </w:tc>
        <w:tc>
          <w:tcPr>
            <w:tcW w:w="3253" w:type="dxa"/>
            <w:vAlign w:val="top"/>
          </w:tcPr>
          <w:p w14:paraId="0B149A3E">
            <w:pPr>
              <w:pStyle w:val="27"/>
            </w:pPr>
          </w:p>
        </w:tc>
        <w:tc>
          <w:tcPr>
            <w:tcW w:w="1619" w:type="dxa"/>
            <w:vAlign w:val="top"/>
          </w:tcPr>
          <w:p w14:paraId="361B000D">
            <w:pPr>
              <w:pStyle w:val="27"/>
            </w:pPr>
          </w:p>
        </w:tc>
        <w:tc>
          <w:tcPr>
            <w:tcW w:w="1210" w:type="dxa"/>
            <w:vAlign w:val="top"/>
          </w:tcPr>
          <w:p w14:paraId="5A91D2E1">
            <w:pPr>
              <w:pStyle w:val="27"/>
            </w:pPr>
          </w:p>
        </w:tc>
        <w:tc>
          <w:tcPr>
            <w:tcW w:w="1141" w:type="dxa"/>
            <w:tcBorders>
              <w:right w:val="single" w:color="000000" w:sz="14" w:space="0"/>
            </w:tcBorders>
            <w:vAlign w:val="top"/>
          </w:tcPr>
          <w:p w14:paraId="23A86214">
            <w:pPr>
              <w:pStyle w:val="27"/>
            </w:pPr>
          </w:p>
        </w:tc>
      </w:tr>
      <w:tr w14:paraId="508438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6F099ABB">
            <w:pPr>
              <w:pStyle w:val="27"/>
            </w:pPr>
          </w:p>
        </w:tc>
        <w:tc>
          <w:tcPr>
            <w:tcW w:w="2280" w:type="dxa"/>
            <w:vAlign w:val="top"/>
          </w:tcPr>
          <w:p w14:paraId="09D89674">
            <w:pPr>
              <w:pStyle w:val="27"/>
            </w:pPr>
          </w:p>
        </w:tc>
        <w:tc>
          <w:tcPr>
            <w:tcW w:w="3253" w:type="dxa"/>
            <w:vAlign w:val="top"/>
          </w:tcPr>
          <w:p w14:paraId="5CB23B73">
            <w:pPr>
              <w:pStyle w:val="27"/>
            </w:pPr>
          </w:p>
        </w:tc>
        <w:tc>
          <w:tcPr>
            <w:tcW w:w="1619" w:type="dxa"/>
            <w:vAlign w:val="top"/>
          </w:tcPr>
          <w:p w14:paraId="38073311">
            <w:pPr>
              <w:pStyle w:val="27"/>
            </w:pPr>
          </w:p>
        </w:tc>
        <w:tc>
          <w:tcPr>
            <w:tcW w:w="1210" w:type="dxa"/>
            <w:vAlign w:val="top"/>
          </w:tcPr>
          <w:p w14:paraId="6C7B7F2E">
            <w:pPr>
              <w:pStyle w:val="27"/>
            </w:pPr>
          </w:p>
        </w:tc>
        <w:tc>
          <w:tcPr>
            <w:tcW w:w="1141" w:type="dxa"/>
            <w:tcBorders>
              <w:right w:val="single" w:color="000000" w:sz="14" w:space="0"/>
            </w:tcBorders>
            <w:vAlign w:val="top"/>
          </w:tcPr>
          <w:p w14:paraId="50C5E907">
            <w:pPr>
              <w:pStyle w:val="27"/>
            </w:pPr>
          </w:p>
        </w:tc>
      </w:tr>
      <w:tr w14:paraId="1856A3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23889695">
            <w:pPr>
              <w:pStyle w:val="27"/>
            </w:pPr>
          </w:p>
        </w:tc>
        <w:tc>
          <w:tcPr>
            <w:tcW w:w="2280" w:type="dxa"/>
            <w:vAlign w:val="top"/>
          </w:tcPr>
          <w:p w14:paraId="0E5113DE">
            <w:pPr>
              <w:pStyle w:val="27"/>
            </w:pPr>
          </w:p>
        </w:tc>
        <w:tc>
          <w:tcPr>
            <w:tcW w:w="3253" w:type="dxa"/>
            <w:vAlign w:val="top"/>
          </w:tcPr>
          <w:p w14:paraId="72243271">
            <w:pPr>
              <w:pStyle w:val="27"/>
            </w:pPr>
          </w:p>
        </w:tc>
        <w:tc>
          <w:tcPr>
            <w:tcW w:w="1619" w:type="dxa"/>
            <w:vAlign w:val="top"/>
          </w:tcPr>
          <w:p w14:paraId="471E6D0A">
            <w:pPr>
              <w:pStyle w:val="27"/>
            </w:pPr>
          </w:p>
        </w:tc>
        <w:tc>
          <w:tcPr>
            <w:tcW w:w="1210" w:type="dxa"/>
            <w:vAlign w:val="top"/>
          </w:tcPr>
          <w:p w14:paraId="50366487">
            <w:pPr>
              <w:pStyle w:val="27"/>
            </w:pPr>
          </w:p>
        </w:tc>
        <w:tc>
          <w:tcPr>
            <w:tcW w:w="1141" w:type="dxa"/>
            <w:tcBorders>
              <w:right w:val="single" w:color="000000" w:sz="14" w:space="0"/>
            </w:tcBorders>
            <w:vAlign w:val="top"/>
          </w:tcPr>
          <w:p w14:paraId="28B2670F">
            <w:pPr>
              <w:pStyle w:val="27"/>
            </w:pPr>
          </w:p>
        </w:tc>
      </w:tr>
      <w:tr w14:paraId="2795EF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53C0EA21">
            <w:pPr>
              <w:pStyle w:val="27"/>
            </w:pPr>
          </w:p>
        </w:tc>
        <w:tc>
          <w:tcPr>
            <w:tcW w:w="2280" w:type="dxa"/>
            <w:vAlign w:val="top"/>
          </w:tcPr>
          <w:p w14:paraId="77039071">
            <w:pPr>
              <w:pStyle w:val="27"/>
            </w:pPr>
          </w:p>
        </w:tc>
        <w:tc>
          <w:tcPr>
            <w:tcW w:w="3253" w:type="dxa"/>
            <w:vAlign w:val="top"/>
          </w:tcPr>
          <w:p w14:paraId="1C7E073E">
            <w:pPr>
              <w:pStyle w:val="27"/>
            </w:pPr>
          </w:p>
        </w:tc>
        <w:tc>
          <w:tcPr>
            <w:tcW w:w="1619" w:type="dxa"/>
            <w:vAlign w:val="top"/>
          </w:tcPr>
          <w:p w14:paraId="007B962A">
            <w:pPr>
              <w:pStyle w:val="27"/>
            </w:pPr>
          </w:p>
        </w:tc>
        <w:tc>
          <w:tcPr>
            <w:tcW w:w="1210" w:type="dxa"/>
            <w:vAlign w:val="top"/>
          </w:tcPr>
          <w:p w14:paraId="6241595A">
            <w:pPr>
              <w:pStyle w:val="27"/>
            </w:pPr>
          </w:p>
        </w:tc>
        <w:tc>
          <w:tcPr>
            <w:tcW w:w="1141" w:type="dxa"/>
            <w:tcBorders>
              <w:right w:val="single" w:color="000000" w:sz="14" w:space="0"/>
            </w:tcBorders>
            <w:vAlign w:val="top"/>
          </w:tcPr>
          <w:p w14:paraId="2FDAADE1">
            <w:pPr>
              <w:pStyle w:val="27"/>
            </w:pPr>
          </w:p>
        </w:tc>
      </w:tr>
      <w:tr w14:paraId="34EC2B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667FA2B2">
            <w:pPr>
              <w:pStyle w:val="27"/>
            </w:pPr>
          </w:p>
        </w:tc>
        <w:tc>
          <w:tcPr>
            <w:tcW w:w="2280" w:type="dxa"/>
            <w:vAlign w:val="top"/>
          </w:tcPr>
          <w:p w14:paraId="1C5C7230">
            <w:pPr>
              <w:pStyle w:val="27"/>
            </w:pPr>
          </w:p>
        </w:tc>
        <w:tc>
          <w:tcPr>
            <w:tcW w:w="3253" w:type="dxa"/>
            <w:vAlign w:val="top"/>
          </w:tcPr>
          <w:p w14:paraId="25347DFF">
            <w:pPr>
              <w:pStyle w:val="27"/>
            </w:pPr>
          </w:p>
        </w:tc>
        <w:tc>
          <w:tcPr>
            <w:tcW w:w="1619" w:type="dxa"/>
            <w:vAlign w:val="top"/>
          </w:tcPr>
          <w:p w14:paraId="247B4B78">
            <w:pPr>
              <w:pStyle w:val="27"/>
            </w:pPr>
          </w:p>
        </w:tc>
        <w:tc>
          <w:tcPr>
            <w:tcW w:w="1210" w:type="dxa"/>
            <w:vAlign w:val="top"/>
          </w:tcPr>
          <w:p w14:paraId="1AF05915">
            <w:pPr>
              <w:pStyle w:val="27"/>
            </w:pPr>
          </w:p>
        </w:tc>
        <w:tc>
          <w:tcPr>
            <w:tcW w:w="1141" w:type="dxa"/>
            <w:tcBorders>
              <w:right w:val="single" w:color="000000" w:sz="14" w:space="0"/>
            </w:tcBorders>
            <w:vAlign w:val="top"/>
          </w:tcPr>
          <w:p w14:paraId="1D28EA7F">
            <w:pPr>
              <w:pStyle w:val="27"/>
            </w:pPr>
          </w:p>
        </w:tc>
      </w:tr>
      <w:tr w14:paraId="7B132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1E0B6086">
            <w:pPr>
              <w:pStyle w:val="27"/>
            </w:pPr>
          </w:p>
        </w:tc>
        <w:tc>
          <w:tcPr>
            <w:tcW w:w="2280" w:type="dxa"/>
            <w:vAlign w:val="top"/>
          </w:tcPr>
          <w:p w14:paraId="073ABA26">
            <w:pPr>
              <w:pStyle w:val="27"/>
            </w:pPr>
          </w:p>
        </w:tc>
        <w:tc>
          <w:tcPr>
            <w:tcW w:w="3253" w:type="dxa"/>
            <w:vAlign w:val="top"/>
          </w:tcPr>
          <w:p w14:paraId="69449EBF">
            <w:pPr>
              <w:pStyle w:val="27"/>
            </w:pPr>
          </w:p>
        </w:tc>
        <w:tc>
          <w:tcPr>
            <w:tcW w:w="1619" w:type="dxa"/>
            <w:vAlign w:val="top"/>
          </w:tcPr>
          <w:p w14:paraId="572E9BB0">
            <w:pPr>
              <w:pStyle w:val="27"/>
            </w:pPr>
          </w:p>
        </w:tc>
        <w:tc>
          <w:tcPr>
            <w:tcW w:w="1210" w:type="dxa"/>
            <w:vAlign w:val="top"/>
          </w:tcPr>
          <w:p w14:paraId="6166E3BF">
            <w:pPr>
              <w:pStyle w:val="27"/>
            </w:pPr>
          </w:p>
        </w:tc>
        <w:tc>
          <w:tcPr>
            <w:tcW w:w="1141" w:type="dxa"/>
            <w:tcBorders>
              <w:right w:val="single" w:color="000000" w:sz="14" w:space="0"/>
            </w:tcBorders>
            <w:vAlign w:val="top"/>
          </w:tcPr>
          <w:p w14:paraId="00F4B516">
            <w:pPr>
              <w:pStyle w:val="27"/>
            </w:pPr>
          </w:p>
        </w:tc>
      </w:tr>
      <w:tr w14:paraId="64126F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1" w:hRule="atLeast"/>
        </w:trPr>
        <w:tc>
          <w:tcPr>
            <w:tcW w:w="9192" w:type="dxa"/>
            <w:gridSpan w:val="5"/>
            <w:tcBorders>
              <w:left w:val="single" w:color="000000" w:sz="14" w:space="0"/>
              <w:bottom w:val="single" w:color="000000" w:sz="14" w:space="0"/>
            </w:tcBorders>
            <w:vAlign w:val="top"/>
          </w:tcPr>
          <w:p w14:paraId="0566A761">
            <w:pPr>
              <w:spacing w:before="154" w:line="221" w:lineRule="auto"/>
              <w:ind w:left="4335"/>
              <w:rPr>
                <w:rFonts w:ascii="宋体" w:hAnsi="宋体" w:eastAsia="宋体" w:cs="宋体"/>
                <w:sz w:val="18"/>
                <w:szCs w:val="18"/>
              </w:rPr>
            </w:pPr>
            <w:r>
              <w:rPr>
                <w:rFonts w:ascii="宋体" w:hAnsi="宋体" w:eastAsia="宋体" w:cs="宋体"/>
                <w:spacing w:val="-4"/>
                <w:sz w:val="18"/>
                <w:szCs w:val="18"/>
              </w:rPr>
              <w:t>合</w:t>
            </w:r>
            <w:r>
              <w:rPr>
                <w:rFonts w:ascii="宋体" w:hAnsi="宋体" w:eastAsia="宋体" w:cs="宋体"/>
                <w:spacing w:val="4"/>
                <w:sz w:val="18"/>
                <w:szCs w:val="18"/>
              </w:rPr>
              <w:t xml:space="preserve">  </w:t>
            </w:r>
            <w:r>
              <w:rPr>
                <w:rFonts w:ascii="宋体" w:hAnsi="宋体" w:eastAsia="宋体" w:cs="宋体"/>
                <w:spacing w:val="-4"/>
                <w:sz w:val="18"/>
                <w:szCs w:val="18"/>
              </w:rPr>
              <w:t>计</w:t>
            </w:r>
          </w:p>
        </w:tc>
        <w:tc>
          <w:tcPr>
            <w:tcW w:w="1141" w:type="dxa"/>
            <w:tcBorders>
              <w:bottom w:val="single" w:color="000000" w:sz="14" w:space="0"/>
              <w:right w:val="single" w:color="000000" w:sz="14" w:space="0"/>
            </w:tcBorders>
            <w:vAlign w:val="top"/>
          </w:tcPr>
          <w:p w14:paraId="44EEF9EB">
            <w:pPr>
              <w:pStyle w:val="27"/>
            </w:pPr>
          </w:p>
        </w:tc>
      </w:tr>
    </w:tbl>
    <w:p w14:paraId="474B83D8">
      <w:pPr>
        <w:spacing w:line="14" w:lineRule="auto"/>
        <w:rPr>
          <w:rFonts w:ascii="Arial"/>
          <w:sz w:val="2"/>
        </w:rPr>
      </w:pPr>
      <w:r>
        <w:rPr>
          <w:rFonts w:ascii="Arial" w:hAnsi="Arial" w:eastAsia="Arial" w:cs="Arial"/>
          <w:sz w:val="2"/>
          <w:szCs w:val="2"/>
        </w:rPr>
        <w:br w:type="column"/>
      </w:r>
    </w:p>
    <w:p w14:paraId="4BE160F7">
      <w:pPr>
        <w:spacing w:line="268" w:lineRule="auto"/>
        <w:rPr>
          <w:rFonts w:ascii="Arial"/>
          <w:sz w:val="21"/>
        </w:rPr>
      </w:pPr>
    </w:p>
    <w:p w14:paraId="46D64D0A">
      <w:pPr>
        <w:spacing w:line="268" w:lineRule="auto"/>
        <w:rPr>
          <w:rFonts w:ascii="Arial"/>
          <w:sz w:val="21"/>
        </w:rPr>
      </w:pPr>
    </w:p>
    <w:p w14:paraId="548646B1">
      <w:pPr>
        <w:spacing w:before="58" w:line="222" w:lineRule="auto"/>
        <w:jc w:val="right"/>
        <w:rPr>
          <w:rFonts w:ascii="黑体" w:hAnsi="黑体" w:eastAsia="黑体" w:cs="黑体"/>
          <w:sz w:val="18"/>
          <w:szCs w:val="18"/>
        </w:rPr>
      </w:pPr>
      <w:r>
        <w:rPr>
          <w:rFonts w:ascii="黑体" w:hAnsi="黑体" w:eastAsia="黑体" w:cs="黑体"/>
          <w:spacing w:val="-3"/>
          <w:sz w:val="18"/>
          <w:szCs w:val="18"/>
        </w:rPr>
        <w:t>第1页</w:t>
      </w:r>
    </w:p>
    <w:p w14:paraId="46B48FF7">
      <w:pPr>
        <w:spacing w:line="14" w:lineRule="auto"/>
        <w:rPr>
          <w:rFonts w:ascii="Arial"/>
          <w:sz w:val="2"/>
        </w:rPr>
      </w:pPr>
      <w:r>
        <w:rPr>
          <w:rFonts w:ascii="Arial" w:hAnsi="Arial" w:eastAsia="Arial" w:cs="Arial"/>
          <w:sz w:val="2"/>
          <w:szCs w:val="2"/>
        </w:rPr>
        <w:br w:type="column"/>
      </w:r>
    </w:p>
    <w:p w14:paraId="547D9020">
      <w:pPr>
        <w:spacing w:line="268" w:lineRule="auto"/>
        <w:rPr>
          <w:rFonts w:ascii="Arial"/>
          <w:sz w:val="21"/>
        </w:rPr>
      </w:pPr>
    </w:p>
    <w:p w14:paraId="600E2EEF">
      <w:pPr>
        <w:spacing w:line="268" w:lineRule="auto"/>
        <w:rPr>
          <w:rFonts w:ascii="Arial"/>
          <w:sz w:val="21"/>
        </w:rPr>
      </w:pPr>
    </w:p>
    <w:p w14:paraId="44A0D8F7">
      <w:pPr>
        <w:spacing w:before="59" w:line="222" w:lineRule="auto"/>
        <w:ind w:left="102"/>
        <w:rPr>
          <w:rFonts w:ascii="黑体" w:hAnsi="黑体" w:eastAsia="黑体" w:cs="黑体"/>
          <w:sz w:val="18"/>
          <w:szCs w:val="18"/>
        </w:rPr>
      </w:pPr>
      <w:r>
        <w:rPr>
          <w:rFonts w:ascii="黑体" w:hAnsi="黑体" w:eastAsia="黑体" w:cs="黑体"/>
          <w:spacing w:val="-3"/>
          <w:sz w:val="18"/>
          <w:szCs w:val="18"/>
        </w:rPr>
        <w:t>共1页</w:t>
      </w:r>
    </w:p>
    <w:p w14:paraId="35F61C38">
      <w:pPr>
        <w:spacing w:line="222" w:lineRule="auto"/>
        <w:rPr>
          <w:rFonts w:ascii="黑体" w:hAnsi="黑体" w:eastAsia="黑体" w:cs="黑体"/>
          <w:sz w:val="18"/>
          <w:szCs w:val="18"/>
        </w:rPr>
        <w:sectPr>
          <w:footerReference r:id="rId9" w:type="default"/>
          <w:pgSz w:w="11905" w:h="16837"/>
          <w:pgMar w:top="724" w:right="576" w:bottom="1181" w:left="820" w:header="0" w:footer="992" w:gutter="0"/>
          <w:pgNumType w:fmt="decimal"/>
          <w:cols w:equalWidth="0" w:num="3">
            <w:col w:w="8968" w:space="100"/>
            <w:col w:w="720" w:space="0"/>
            <w:col w:w="720"/>
          </w:cols>
        </w:sectPr>
      </w:pPr>
    </w:p>
    <w:p w14:paraId="7330D9E4">
      <w:pPr>
        <w:spacing w:line="20" w:lineRule="auto"/>
        <w:rPr>
          <w:rFonts w:ascii="Arial"/>
          <w:sz w:val="2"/>
        </w:rPr>
      </w:pPr>
    </w:p>
    <w:p w14:paraId="2AE9C90C">
      <w:pPr>
        <w:spacing w:line="14" w:lineRule="auto"/>
        <w:rPr>
          <w:rFonts w:ascii="Arial"/>
          <w:sz w:val="2"/>
        </w:rPr>
      </w:pPr>
    </w:p>
    <w:p w14:paraId="6823C518">
      <w:pPr>
        <w:spacing w:line="460" w:lineRule="exact"/>
        <w:ind w:right="68"/>
        <w:jc w:val="center"/>
        <w:outlineLvl w:val="0"/>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第六章  投标文件格式</w:t>
      </w:r>
      <w:bookmarkEnd w:id="9"/>
    </w:p>
    <w:p w14:paraId="45209280">
      <w:pPr>
        <w:jc w:val="center"/>
        <w:rPr>
          <w:rFonts w:ascii="宋体" w:hAnsi="宋体"/>
          <w:b/>
          <w:color w:val="000000" w:themeColor="text1"/>
          <w:sz w:val="28"/>
          <w:szCs w:val="28"/>
          <w:highlight w:val="none"/>
          <w14:textFill>
            <w14:solidFill>
              <w14:schemeClr w14:val="tx1"/>
            </w14:solidFill>
          </w14:textFill>
        </w:rPr>
      </w:pPr>
    </w:p>
    <w:p w14:paraId="67219770">
      <w:pPr>
        <w:jc w:val="center"/>
        <w:outlineLvl w:val="1"/>
        <w:rPr>
          <w:rFonts w:ascii="宋体" w:hAnsi="宋体"/>
          <w:b/>
          <w:color w:val="000000" w:themeColor="text1"/>
          <w:sz w:val="28"/>
          <w:szCs w:val="28"/>
          <w:highlight w:val="none"/>
          <w14:textFill>
            <w14:solidFill>
              <w14:schemeClr w14:val="tx1"/>
            </w14:solidFill>
          </w14:textFill>
        </w:rPr>
      </w:pPr>
      <w:bookmarkStart w:id="556" w:name="_Toc15740"/>
      <w:r>
        <w:rPr>
          <w:rFonts w:hint="eastAsia" w:ascii="宋体" w:hAnsi="宋体"/>
          <w:b/>
          <w:color w:val="000000" w:themeColor="text1"/>
          <w:sz w:val="28"/>
          <w:szCs w:val="28"/>
          <w:highlight w:val="none"/>
          <w14:textFill>
            <w14:solidFill>
              <w14:schemeClr w14:val="tx1"/>
            </w14:solidFill>
          </w14:textFill>
        </w:rPr>
        <w:t>封面</w:t>
      </w:r>
      <w:bookmarkEnd w:id="556"/>
    </w:p>
    <w:p w14:paraId="343F6063">
      <w:pPr>
        <w:jc w:val="right"/>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正本（副本）</w:t>
      </w:r>
    </w:p>
    <w:p w14:paraId="6A90B1DE">
      <w:pPr>
        <w:jc w:val="center"/>
        <w:rPr>
          <w:rFonts w:ascii="宋体" w:hAnsi="宋体"/>
          <w:color w:val="000000" w:themeColor="text1"/>
          <w:sz w:val="30"/>
          <w:szCs w:val="30"/>
          <w:highlight w:val="none"/>
          <w14:textFill>
            <w14:solidFill>
              <w14:schemeClr w14:val="tx1"/>
            </w14:solidFill>
          </w14:textFill>
        </w:rPr>
      </w:pPr>
      <w:r>
        <w:rPr>
          <w:rFonts w:hint="eastAsia" w:ascii="宋体" w:hAnsi="宋体"/>
          <w:color w:val="000000" w:themeColor="text1"/>
          <w:sz w:val="30"/>
          <w:szCs w:val="30"/>
          <w:highlight w:val="none"/>
          <w14:textFill>
            <w14:solidFill>
              <w14:schemeClr w14:val="tx1"/>
            </w14:solidFill>
          </w14:textFill>
        </w:rPr>
        <w:t xml:space="preserve"> </w:t>
      </w:r>
    </w:p>
    <w:p w14:paraId="0A3292AC">
      <w:pPr>
        <w:jc w:val="center"/>
        <w:rPr>
          <w:rFonts w:ascii="宋体" w:hAnsi="宋体"/>
          <w:b/>
          <w:color w:val="000000" w:themeColor="text1"/>
          <w:sz w:val="30"/>
          <w:szCs w:val="30"/>
          <w:highlight w:val="none"/>
          <w14:textFill>
            <w14:solidFill>
              <w14:schemeClr w14:val="tx1"/>
            </w14:solidFill>
          </w14:textFill>
        </w:rPr>
      </w:pPr>
      <w:r>
        <w:rPr>
          <w:rFonts w:hint="eastAsia" w:ascii="宋体" w:hAnsi="宋体" w:cs="宋体"/>
          <w:b/>
          <w:color w:val="000000" w:themeColor="text1"/>
          <w:kern w:val="0"/>
          <w:sz w:val="32"/>
          <w:szCs w:val="32"/>
          <w:highlight w:val="none"/>
          <w:u w:val="single"/>
          <w14:textFill>
            <w14:solidFill>
              <w14:schemeClr w14:val="tx1"/>
            </w14:solidFill>
          </w14:textFill>
        </w:rPr>
        <w:t xml:space="preserve">                     </w:t>
      </w:r>
      <w:r>
        <w:rPr>
          <w:rFonts w:hint="eastAsia" w:ascii="宋体" w:hAnsi="宋体" w:cs="宋体"/>
          <w:b/>
          <w:color w:val="000000" w:themeColor="text1"/>
          <w:kern w:val="0"/>
          <w:sz w:val="32"/>
          <w:szCs w:val="32"/>
          <w:highlight w:val="none"/>
          <w14:textFill>
            <w14:solidFill>
              <w14:schemeClr w14:val="tx1"/>
            </w14:solidFill>
          </w14:textFill>
        </w:rPr>
        <w:t>工程</w:t>
      </w:r>
    </w:p>
    <w:p w14:paraId="725AD179">
      <w:pPr>
        <w:jc w:val="center"/>
        <w:rPr>
          <w:rFonts w:hint="eastAsia" w:ascii="宋体" w:hAnsi="宋体"/>
          <w:color w:val="000000" w:themeColor="text1"/>
          <w:sz w:val="84"/>
          <w:szCs w:val="52"/>
          <w:highlight w:val="none"/>
          <w14:textFill>
            <w14:solidFill>
              <w14:schemeClr w14:val="tx1"/>
            </w14:solidFill>
          </w14:textFill>
        </w:rPr>
      </w:pPr>
    </w:p>
    <w:p w14:paraId="020F61C2">
      <w:pPr>
        <w:jc w:val="center"/>
        <w:rPr>
          <w:rFonts w:hint="eastAsia" w:ascii="宋体" w:hAnsi="宋体"/>
          <w:color w:val="000000" w:themeColor="text1"/>
          <w:sz w:val="84"/>
          <w:szCs w:val="52"/>
          <w:highlight w:val="none"/>
          <w14:textFill>
            <w14:solidFill>
              <w14:schemeClr w14:val="tx1"/>
            </w14:solidFill>
          </w14:textFill>
        </w:rPr>
      </w:pPr>
    </w:p>
    <w:p w14:paraId="4F72C376">
      <w:pPr>
        <w:pStyle w:val="21"/>
        <w:rPr>
          <w:rFonts w:hint="eastAsia"/>
          <w:color w:val="000000" w:themeColor="text1"/>
          <w:highlight w:val="none"/>
          <w14:textFill>
            <w14:solidFill>
              <w14:schemeClr w14:val="tx1"/>
            </w14:solidFill>
          </w14:textFill>
        </w:rPr>
      </w:pPr>
    </w:p>
    <w:p w14:paraId="2826247E">
      <w:pPr>
        <w:rPr>
          <w:rFonts w:hint="eastAsia"/>
          <w:color w:val="000000" w:themeColor="text1"/>
          <w:highlight w:val="none"/>
          <w14:textFill>
            <w14:solidFill>
              <w14:schemeClr w14:val="tx1"/>
            </w14:solidFill>
          </w14:textFill>
        </w:rPr>
      </w:pPr>
    </w:p>
    <w:p w14:paraId="7549A3CE">
      <w:pPr>
        <w:jc w:val="center"/>
        <w:rPr>
          <w:rFonts w:ascii="宋体" w:hAnsi="宋体"/>
          <w:color w:val="000000" w:themeColor="text1"/>
          <w:sz w:val="84"/>
          <w:szCs w:val="52"/>
          <w:highlight w:val="none"/>
          <w14:textFill>
            <w14:solidFill>
              <w14:schemeClr w14:val="tx1"/>
            </w14:solidFill>
          </w14:textFill>
        </w:rPr>
      </w:pPr>
      <w:r>
        <w:rPr>
          <w:rFonts w:hint="eastAsia" w:ascii="宋体" w:hAnsi="宋体"/>
          <w:color w:val="000000" w:themeColor="text1"/>
          <w:sz w:val="84"/>
          <w:szCs w:val="52"/>
          <w:highlight w:val="none"/>
          <w14:textFill>
            <w14:solidFill>
              <w14:schemeClr w14:val="tx1"/>
            </w14:solidFill>
          </w14:textFill>
        </w:rPr>
        <w:t>投 标 文 件</w:t>
      </w:r>
    </w:p>
    <w:p w14:paraId="35DD45B9">
      <w:pPr>
        <w:jc w:val="center"/>
        <w:rPr>
          <w:rFonts w:ascii="宋体" w:hAnsi="宋体"/>
          <w:color w:val="000000" w:themeColor="text1"/>
          <w:sz w:val="28"/>
          <w:szCs w:val="28"/>
          <w:highlight w:val="none"/>
          <w14:textFill>
            <w14:solidFill>
              <w14:schemeClr w14:val="tx1"/>
            </w14:solidFill>
          </w14:textFill>
        </w:rPr>
      </w:pPr>
    </w:p>
    <w:p w14:paraId="6720EE8D">
      <w:pPr>
        <w:jc w:val="center"/>
        <w:rPr>
          <w:rFonts w:ascii="宋体" w:hAnsi="宋体"/>
          <w:color w:val="000000" w:themeColor="text1"/>
          <w:sz w:val="28"/>
          <w:szCs w:val="28"/>
          <w:highlight w:val="none"/>
          <w14:textFill>
            <w14:solidFill>
              <w14:schemeClr w14:val="tx1"/>
            </w14:solidFill>
          </w14:textFill>
        </w:rPr>
      </w:pPr>
    </w:p>
    <w:p w14:paraId="7D49B794">
      <w:pPr>
        <w:spacing w:line="440" w:lineRule="exact"/>
        <w:rPr>
          <w:rFonts w:ascii="宋体" w:hAnsi="宋体"/>
          <w:color w:val="000000" w:themeColor="text1"/>
          <w:sz w:val="28"/>
          <w:szCs w:val="28"/>
          <w:highlight w:val="none"/>
          <w:u w:val="single"/>
          <w14:textFill>
            <w14:solidFill>
              <w14:schemeClr w14:val="tx1"/>
            </w14:solidFill>
          </w14:textFill>
        </w:rPr>
      </w:pPr>
    </w:p>
    <w:p w14:paraId="6B99E21D">
      <w:pPr>
        <w:spacing w:line="440" w:lineRule="exact"/>
        <w:rPr>
          <w:rFonts w:ascii="宋体" w:hAnsi="宋体"/>
          <w:color w:val="000000" w:themeColor="text1"/>
          <w:sz w:val="28"/>
          <w:szCs w:val="28"/>
          <w:highlight w:val="none"/>
          <w:u w:val="single"/>
          <w14:textFill>
            <w14:solidFill>
              <w14:schemeClr w14:val="tx1"/>
            </w14:solidFill>
          </w14:textFill>
        </w:rPr>
      </w:pPr>
    </w:p>
    <w:p w14:paraId="45225204">
      <w:pPr>
        <w:spacing w:line="440" w:lineRule="exact"/>
        <w:rPr>
          <w:rFonts w:ascii="宋体" w:hAnsi="宋体"/>
          <w:color w:val="000000" w:themeColor="text1"/>
          <w:sz w:val="28"/>
          <w:szCs w:val="28"/>
          <w:highlight w:val="none"/>
          <w:u w:val="single"/>
          <w14:textFill>
            <w14:solidFill>
              <w14:schemeClr w14:val="tx1"/>
            </w14:solidFill>
          </w14:textFill>
        </w:rPr>
      </w:pPr>
    </w:p>
    <w:p w14:paraId="5B53C993">
      <w:pPr>
        <w:pStyle w:val="21"/>
        <w:rPr>
          <w:rFonts w:ascii="宋体" w:hAnsi="宋体"/>
          <w:color w:val="000000" w:themeColor="text1"/>
          <w:sz w:val="28"/>
          <w:szCs w:val="28"/>
          <w:highlight w:val="none"/>
          <w:u w:val="single"/>
          <w14:textFill>
            <w14:solidFill>
              <w14:schemeClr w14:val="tx1"/>
            </w14:solidFill>
          </w14:textFill>
        </w:rPr>
      </w:pPr>
    </w:p>
    <w:p w14:paraId="21D3EDFF">
      <w:pPr>
        <w:rPr>
          <w:color w:val="000000" w:themeColor="text1"/>
          <w:highlight w:val="none"/>
          <w14:textFill>
            <w14:solidFill>
              <w14:schemeClr w14:val="tx1"/>
            </w14:solidFill>
          </w14:textFill>
        </w:rPr>
      </w:pPr>
    </w:p>
    <w:p w14:paraId="7E42BAF2">
      <w:pPr>
        <w:spacing w:line="440" w:lineRule="exact"/>
        <w:rPr>
          <w:rFonts w:ascii="宋体" w:hAnsi="宋体"/>
          <w:color w:val="000000" w:themeColor="text1"/>
          <w:sz w:val="28"/>
          <w:szCs w:val="28"/>
          <w:highlight w:val="none"/>
          <w:u w:val="single"/>
          <w14:textFill>
            <w14:solidFill>
              <w14:schemeClr w14:val="tx1"/>
            </w14:solidFill>
          </w14:textFill>
        </w:rPr>
      </w:pPr>
    </w:p>
    <w:p w14:paraId="2C79A030">
      <w:pPr>
        <w:rPr>
          <w:rFonts w:ascii="宋体" w:hAnsi="宋体"/>
          <w:color w:val="000000" w:themeColor="text1"/>
          <w:sz w:val="28"/>
          <w:szCs w:val="28"/>
          <w:highlight w:val="none"/>
          <w14:textFill>
            <w14:solidFill>
              <w14:schemeClr w14:val="tx1"/>
            </w14:solidFill>
          </w14:textFill>
        </w:rPr>
      </w:pPr>
    </w:p>
    <w:p w14:paraId="7C24D32B">
      <w:pPr>
        <w:spacing w:line="440" w:lineRule="exact"/>
        <w:jc w:val="both"/>
        <w:rPr>
          <w:rFonts w:hint="eastAsia" w:ascii="宋体" w:hAnsi="宋体"/>
          <w:color w:val="000000" w:themeColor="text1"/>
          <w:sz w:val="28"/>
          <w:szCs w:val="28"/>
          <w:highlight w:val="none"/>
          <w14:textFill>
            <w14:solidFill>
              <w14:schemeClr w14:val="tx1"/>
            </w14:solidFill>
          </w14:textFill>
        </w:rPr>
      </w:pPr>
    </w:p>
    <w:p w14:paraId="53EAE542">
      <w:pPr>
        <w:spacing w:line="440" w:lineRule="exact"/>
        <w:jc w:val="center"/>
        <w:rPr>
          <w:rFonts w:ascii="宋体" w:hAnsi="宋体"/>
          <w:color w:val="000000" w:themeColor="text1"/>
          <w:sz w:val="28"/>
          <w:szCs w:val="28"/>
          <w:highlight w:val="none"/>
          <w14:textFill>
            <w14:solidFill>
              <w14:schemeClr w14:val="tx1"/>
            </w14:solidFill>
          </w14:textFill>
        </w:rPr>
      </w:pPr>
      <w:r>
        <w:rPr>
          <w:rFonts w:hint="eastAsia" w:ascii="宋体" w:hAnsi="宋体"/>
          <w:color w:val="000000" w:themeColor="text1"/>
          <w:sz w:val="28"/>
          <w:szCs w:val="28"/>
          <w:highlight w:val="none"/>
          <w14:textFill>
            <w14:solidFill>
              <w14:schemeClr w14:val="tx1"/>
            </w14:solidFill>
          </w14:textFill>
        </w:rPr>
        <w:t>投标人：</w:t>
      </w:r>
      <w:r>
        <w:rPr>
          <w:rFonts w:hint="eastAsia" w:ascii="宋体" w:hAnsi="宋体"/>
          <w:color w:val="000000" w:themeColor="text1"/>
          <w:sz w:val="28"/>
          <w:szCs w:val="28"/>
          <w:highlight w:val="none"/>
          <w:u w:val="single"/>
          <w14:textFill>
            <w14:solidFill>
              <w14:schemeClr w14:val="tx1"/>
            </w14:solidFill>
          </w14:textFill>
        </w:rPr>
        <w:t xml:space="preserve">                      （盖章）</w:t>
      </w:r>
    </w:p>
    <w:p w14:paraId="6FA54B78">
      <w:pPr>
        <w:spacing w:line="440" w:lineRule="exact"/>
        <w:ind w:firstLine="1783" w:firstLineChars="637"/>
        <w:jc w:val="center"/>
        <w:rPr>
          <w:rFonts w:ascii="宋体" w:hAnsi="宋体"/>
          <w:color w:val="000000" w:themeColor="text1"/>
          <w:sz w:val="28"/>
          <w:szCs w:val="28"/>
          <w:highlight w:val="none"/>
          <w14:textFill>
            <w14:solidFill>
              <w14:schemeClr w14:val="tx1"/>
            </w14:solidFill>
          </w14:textFill>
        </w:rPr>
      </w:pPr>
    </w:p>
    <w:p w14:paraId="5A121078">
      <w:pPr>
        <w:spacing w:line="440" w:lineRule="exact"/>
        <w:jc w:val="center"/>
        <w:rPr>
          <w:rFonts w:ascii="宋体" w:hAnsi="宋体"/>
          <w:color w:val="000000" w:themeColor="text1"/>
          <w:sz w:val="28"/>
          <w:szCs w:val="28"/>
          <w:highlight w:val="none"/>
          <w:u w:val="single"/>
          <w14:textFill>
            <w14:solidFill>
              <w14:schemeClr w14:val="tx1"/>
            </w14:solidFill>
          </w14:textFill>
        </w:rPr>
      </w:pPr>
      <w:r>
        <w:rPr>
          <w:rFonts w:hint="eastAsia" w:ascii="宋体" w:hAnsi="宋体"/>
          <w:color w:val="000000" w:themeColor="text1"/>
          <w:sz w:val="28"/>
          <w:szCs w:val="28"/>
          <w:highlight w:val="none"/>
          <w:lang w:val="en-US" w:eastAsia="zh-CN"/>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法定代表人或其委托代理人：</w:t>
      </w:r>
      <w:r>
        <w:rPr>
          <w:rFonts w:hint="eastAsia" w:ascii="宋体" w:hAnsi="宋体"/>
          <w:color w:val="000000" w:themeColor="text1"/>
          <w:sz w:val="28"/>
          <w:szCs w:val="28"/>
          <w:highlight w:val="none"/>
          <w:u w:val="single"/>
          <w14:textFill>
            <w14:solidFill>
              <w14:schemeClr w14:val="tx1"/>
            </w14:solidFill>
          </w14:textFill>
        </w:rPr>
        <w:t xml:space="preserve">     （ 签字或盖章）</w:t>
      </w:r>
    </w:p>
    <w:p w14:paraId="30E0A6FD">
      <w:pPr>
        <w:ind w:firstLine="1783" w:firstLineChars="637"/>
        <w:jc w:val="center"/>
        <w:rPr>
          <w:rFonts w:ascii="宋体" w:hAnsi="宋体"/>
          <w:color w:val="000000" w:themeColor="text1"/>
          <w:sz w:val="28"/>
          <w:szCs w:val="28"/>
          <w:highlight w:val="none"/>
          <w14:textFill>
            <w14:solidFill>
              <w14:schemeClr w14:val="tx1"/>
            </w14:solidFill>
          </w14:textFill>
        </w:rPr>
      </w:pPr>
    </w:p>
    <w:p w14:paraId="62B5393C">
      <w:pPr>
        <w:jc w:val="center"/>
        <w:rPr>
          <w:rFonts w:ascii="宋体" w:hAnsi="宋体"/>
          <w:color w:val="000000" w:themeColor="text1"/>
          <w:sz w:val="28"/>
          <w:szCs w:val="28"/>
          <w:highlight w:val="none"/>
          <w14:textFill>
            <w14:solidFill>
              <w14:schemeClr w14:val="tx1"/>
            </w14:solidFill>
          </w14:textFill>
        </w:rPr>
      </w:pPr>
      <w:r>
        <w:rPr>
          <w:rFonts w:hint="eastAsia" w:ascii="宋体" w:hAnsi="宋体"/>
          <w:color w:val="000000" w:themeColor="text1"/>
          <w:sz w:val="28"/>
          <w:szCs w:val="28"/>
          <w:highlight w:val="none"/>
          <w14:textFill>
            <w14:solidFill>
              <w14:schemeClr w14:val="tx1"/>
            </w14:solidFill>
          </w14:textFill>
        </w:rPr>
        <w:t>日   期：</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年</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月</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日</w:t>
      </w:r>
    </w:p>
    <w:p w14:paraId="2E4B38F7">
      <w:pPr>
        <w:spacing w:line="460" w:lineRule="exact"/>
        <w:ind w:left="-7" w:right="68"/>
        <w:jc w:val="center"/>
        <w:rPr>
          <w:rFonts w:ascii="宋体" w:hAnsi="宋体"/>
          <w:b/>
          <w:bCs/>
          <w:color w:val="000000" w:themeColor="text1"/>
          <w:sz w:val="24"/>
          <w:highlight w:val="none"/>
          <w14:textFill>
            <w14:solidFill>
              <w14:schemeClr w14:val="tx1"/>
            </w14:solidFill>
          </w14:textFill>
        </w:rPr>
      </w:pPr>
    </w:p>
    <w:p w14:paraId="47840F07">
      <w:pPr>
        <w:spacing w:line="460" w:lineRule="exact"/>
        <w:ind w:left="-7" w:right="68"/>
        <w:jc w:val="center"/>
        <w:rPr>
          <w:rFonts w:ascii="宋体" w:hAnsi="宋体"/>
          <w:b/>
          <w:bCs/>
          <w:color w:val="000000" w:themeColor="text1"/>
          <w:sz w:val="24"/>
          <w:highlight w:val="none"/>
          <w14:textFill>
            <w14:solidFill>
              <w14:schemeClr w14:val="tx1"/>
            </w14:solidFill>
          </w14:textFill>
        </w:rPr>
      </w:pPr>
      <w:r>
        <w:rPr>
          <w:rFonts w:ascii="宋体" w:hAnsi="宋体"/>
          <w:b/>
          <w:bCs/>
          <w:color w:val="000000" w:themeColor="text1"/>
          <w:sz w:val="24"/>
          <w:highlight w:val="none"/>
          <w14:textFill>
            <w14:solidFill>
              <w14:schemeClr w14:val="tx1"/>
            </w14:solidFill>
          </w14:textFill>
        </w:rPr>
        <w:br w:type="page"/>
      </w:r>
    </w:p>
    <w:p w14:paraId="0D7FEA3F">
      <w:pPr>
        <w:spacing w:line="460" w:lineRule="exact"/>
        <w:ind w:left="-7" w:right="68"/>
        <w:jc w:val="center"/>
        <w:outlineLvl w:val="1"/>
        <w:rPr>
          <w:rFonts w:ascii="宋体" w:hAnsi="宋体"/>
          <w:color w:val="000000" w:themeColor="text1"/>
          <w:sz w:val="32"/>
          <w:szCs w:val="32"/>
          <w:highlight w:val="none"/>
          <w14:textFill>
            <w14:solidFill>
              <w14:schemeClr w14:val="tx1"/>
            </w14:solidFill>
          </w14:textFill>
        </w:rPr>
      </w:pPr>
      <w:bookmarkStart w:id="557" w:name="_Toc25219"/>
      <w:r>
        <w:rPr>
          <w:rFonts w:hint="eastAsia" w:ascii="宋体" w:hAnsi="宋体"/>
          <w:b/>
          <w:bCs/>
          <w:color w:val="000000" w:themeColor="text1"/>
          <w:sz w:val="32"/>
          <w:szCs w:val="32"/>
          <w:highlight w:val="none"/>
          <w14:textFill>
            <w14:solidFill>
              <w14:schemeClr w14:val="tx1"/>
            </w14:solidFill>
          </w14:textFill>
        </w:rPr>
        <w:t>一、</w:t>
      </w:r>
      <w:r>
        <w:rPr>
          <w:rFonts w:hint="eastAsia" w:ascii="宋体" w:hAnsi="宋体"/>
          <w:b/>
          <w:color w:val="000000" w:themeColor="text1"/>
          <w:sz w:val="32"/>
          <w:szCs w:val="32"/>
          <w:highlight w:val="none"/>
          <w14:textFill>
            <w14:solidFill>
              <w14:schemeClr w14:val="tx1"/>
            </w14:solidFill>
          </w14:textFill>
        </w:rPr>
        <w:t>投标函</w:t>
      </w:r>
      <w:bookmarkEnd w:id="557"/>
    </w:p>
    <w:p w14:paraId="51D751B9">
      <w:pPr>
        <w:spacing w:line="360" w:lineRule="auto"/>
        <w:ind w:left="-7" w:right="68"/>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致</w:t>
      </w:r>
      <w:r>
        <w:rPr>
          <w:rFonts w:hint="eastAsia" w:ascii="宋体" w:hAnsi="宋体" w:cs="宋体"/>
          <w:color w:val="000000" w:themeColor="text1"/>
          <w:kern w:val="0"/>
          <w:sz w:val="24"/>
          <w:szCs w:val="24"/>
          <w:highlight w:val="none"/>
          <w:u w:val="single"/>
          <w14:textFill>
            <w14:solidFill>
              <w14:schemeClr w14:val="tx1"/>
            </w14:solidFill>
          </w14:textFill>
        </w:rPr>
        <w:t xml:space="preserve">   （招标人）</w:t>
      </w:r>
      <w:r>
        <w:rPr>
          <w:rFonts w:hint="eastAsia" w:ascii="宋体" w:hAnsi="宋体"/>
          <w:color w:val="000000" w:themeColor="text1"/>
          <w:sz w:val="24"/>
          <w:szCs w:val="24"/>
          <w:highlight w:val="none"/>
          <w14:textFill>
            <w14:solidFill>
              <w14:schemeClr w14:val="tx1"/>
            </w14:solidFill>
          </w14:textFill>
        </w:rPr>
        <w:t>：</w:t>
      </w:r>
    </w:p>
    <w:p w14:paraId="727643D6">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1、根据你方的</w:t>
      </w:r>
      <w:r>
        <w:rPr>
          <w:rFonts w:hint="eastAsia" w:ascii="宋体" w:hAnsi="宋体" w:cs="宋体"/>
          <w:color w:val="000000" w:themeColor="text1"/>
          <w:kern w:val="0"/>
          <w:sz w:val="24"/>
          <w:szCs w:val="24"/>
          <w:highlight w:val="none"/>
          <w:u w:val="single"/>
          <w14:textFill>
            <w14:solidFill>
              <w14:schemeClr w14:val="tx1"/>
            </w14:solidFill>
          </w14:textFill>
        </w:rPr>
        <w:t xml:space="preserve">  （项目名称）</w:t>
      </w:r>
      <w:r>
        <w:rPr>
          <w:rFonts w:hint="eastAsia" w:ascii="宋体" w:hAnsi="宋体" w:cs="宋体"/>
          <w:color w:val="000000" w:themeColor="text1"/>
          <w:kern w:val="0"/>
          <w:sz w:val="24"/>
          <w:szCs w:val="24"/>
          <w:highlight w:val="none"/>
          <w14:textFill>
            <w14:solidFill>
              <w14:schemeClr w14:val="tx1"/>
            </w14:solidFill>
          </w14:textFill>
        </w:rPr>
        <w:t>工程</w:t>
      </w:r>
      <w:r>
        <w:rPr>
          <w:rFonts w:hint="eastAsia" w:ascii="宋体" w:hAnsi="宋体"/>
          <w:color w:val="000000" w:themeColor="text1"/>
          <w:sz w:val="24"/>
          <w:szCs w:val="24"/>
          <w:highlight w:val="none"/>
          <w14:textFill>
            <w14:solidFill>
              <w14:schemeClr w14:val="tx1"/>
            </w14:solidFill>
          </w14:textFill>
        </w:rPr>
        <w:t>招标文件，遵照《中华人民共和国招标投标法》等有关规定，经踏勘项目现场和研究上述招标文件的投标须知、合同条款、图纸、工程建设标准和工程量清单及其他有关文件后，我方愿以人民币（大写）</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元</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角</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分(小写￥</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)的投标总价，工期</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日历天，按合同约定实施和完成承包</w:t>
      </w:r>
      <w:r>
        <w:rPr>
          <w:rFonts w:hint="eastAsia" w:ascii="宋体" w:hAnsi="宋体" w:cs="宋体"/>
          <w:color w:val="000000" w:themeColor="text1"/>
          <w:kern w:val="0"/>
          <w:sz w:val="24"/>
          <w:szCs w:val="24"/>
          <w:highlight w:val="none"/>
          <w14:textFill>
            <w14:solidFill>
              <w14:schemeClr w14:val="tx1"/>
            </w14:solidFill>
          </w14:textFill>
        </w:rPr>
        <w:t>上述工</w:t>
      </w:r>
      <w:r>
        <w:rPr>
          <w:rFonts w:hint="eastAsia" w:ascii="宋体" w:hAnsi="宋体"/>
          <w:color w:val="000000" w:themeColor="text1"/>
          <w:sz w:val="24"/>
          <w:szCs w:val="24"/>
          <w:highlight w:val="none"/>
          <w14:textFill>
            <w14:solidFill>
              <w14:schemeClr w14:val="tx1"/>
            </w14:solidFill>
          </w14:textFill>
        </w:rPr>
        <w:t>程，</w:t>
      </w:r>
      <w:r>
        <w:rPr>
          <w:rFonts w:hint="eastAsia" w:ascii="宋体" w:hAnsi="宋体" w:cs="宋体"/>
          <w:color w:val="000000" w:themeColor="text1"/>
          <w:kern w:val="0"/>
          <w:sz w:val="24"/>
          <w:szCs w:val="24"/>
          <w:highlight w:val="none"/>
          <w14:textFill>
            <w14:solidFill>
              <w14:schemeClr w14:val="tx1"/>
            </w14:solidFill>
          </w14:textFill>
        </w:rPr>
        <w:t>质量达到</w:t>
      </w:r>
      <w:r>
        <w:rPr>
          <w:rFonts w:hint="eastAsia" w:ascii="宋体" w:hAnsi="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cs="宋体"/>
          <w:color w:val="000000" w:themeColor="text1"/>
          <w:kern w:val="0"/>
          <w:sz w:val="24"/>
          <w:szCs w:val="24"/>
          <w:highlight w:val="none"/>
          <w14:textFill>
            <w14:solidFill>
              <w14:schemeClr w14:val="tx1"/>
            </w14:solidFill>
          </w14:textFill>
        </w:rPr>
        <w:t>标准。</w:t>
      </w:r>
    </w:p>
    <w:p w14:paraId="1BF0FDE0">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2、我方保证我公司具有独立订立合同的能力，未处于财产被接管、冻结和破产状态。</w:t>
      </w:r>
    </w:p>
    <w:p w14:paraId="1C55CE62">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3、我方承诺中标的项目经理，不因任何情形而更换，且出勤率不少80%，如发生更换或出勤率少于80%，除接受招标文件约定的处罚外，自愿另行接受合同价2%的扣款。</w:t>
      </w:r>
    </w:p>
    <w:p w14:paraId="1FE79E41">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4、我方承诺在本次投标过程中无弄虚作假和串通投标等违法、违规行为，并愿意承担因弄虚作假和串通投标所引起的一切法律责任。</w:t>
      </w:r>
    </w:p>
    <w:p w14:paraId="5A1C6CCC">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5、我方承诺在投标有效期内不修改、撤销投标文件。</w:t>
      </w:r>
    </w:p>
    <w:p w14:paraId="35F4F5C5">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6、一旦我方中标，我方将派出</w:t>
      </w:r>
      <w:r>
        <w:rPr>
          <w:rFonts w:hint="eastAsia" w:ascii="宋体" w:hAnsi="宋体"/>
          <w:color w:val="000000" w:themeColor="text1"/>
          <w:sz w:val="24"/>
          <w:szCs w:val="24"/>
          <w:highlight w:val="none"/>
          <w:u w:val="single"/>
          <w14:textFill>
            <w14:solidFill>
              <w14:schemeClr w14:val="tx1"/>
            </w14:solidFill>
          </w14:textFill>
        </w:rPr>
        <w:t xml:space="preserve">   （项目负责人姓名）   </w:t>
      </w:r>
      <w:r>
        <w:rPr>
          <w:rFonts w:hint="eastAsia" w:ascii="宋体" w:hAnsi="宋体"/>
          <w:color w:val="000000" w:themeColor="text1"/>
          <w:sz w:val="24"/>
          <w:szCs w:val="24"/>
          <w:highlight w:val="none"/>
          <w14:textFill>
            <w14:solidFill>
              <w14:schemeClr w14:val="tx1"/>
            </w14:solidFill>
          </w14:textFill>
        </w:rPr>
        <w:t>为本工程的项目负责人。</w:t>
      </w:r>
    </w:p>
    <w:p w14:paraId="615E8B2B">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7、除非另外达成协议并生效，你方的中标通知书和本投标文件将成为约束双方的合同文件的组成部分。</w:t>
      </w:r>
    </w:p>
    <w:p w14:paraId="618F5525">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8</w:t>
      </w:r>
      <w:r>
        <w:rPr>
          <w:rFonts w:hint="eastAsia" w:ascii="宋体" w:hAnsi="宋体"/>
          <w:color w:val="000000" w:themeColor="text1"/>
          <w:sz w:val="24"/>
          <w:szCs w:val="24"/>
          <w:highlight w:val="none"/>
          <w14:textFill>
            <w14:solidFill>
              <w14:schemeClr w14:val="tx1"/>
            </w14:solidFill>
          </w14:textFill>
        </w:rPr>
        <w:t>、我方在此声明。所递交的投标文件及有关资料内容完整、真实和准确。</w:t>
      </w:r>
    </w:p>
    <w:p w14:paraId="208752A0">
      <w:pPr>
        <w:spacing w:line="360" w:lineRule="auto"/>
        <w:ind w:left="420" w:leftChars="200" w:right="420" w:rightChars="200" w:firstLine="510"/>
        <w:rPr>
          <w:rFonts w:ascii="宋体" w:hAnsi="宋体"/>
          <w:color w:val="000000" w:themeColor="text1"/>
          <w:sz w:val="24"/>
          <w:szCs w:val="24"/>
          <w:highlight w:val="none"/>
          <w14:textFill>
            <w14:solidFill>
              <w14:schemeClr w14:val="tx1"/>
            </w14:solidFill>
          </w14:textFill>
        </w:rPr>
      </w:pPr>
    </w:p>
    <w:p w14:paraId="4F22216C">
      <w:pPr>
        <w:spacing w:line="360" w:lineRule="auto"/>
        <w:ind w:left="420" w:leftChars="200" w:right="420" w:rightChars="200" w:firstLine="510"/>
        <w:rPr>
          <w:rFonts w:ascii="宋体" w:hAnsi="宋体"/>
          <w:color w:val="000000" w:themeColor="text1"/>
          <w:sz w:val="24"/>
          <w:szCs w:val="24"/>
          <w:highlight w:val="none"/>
          <w:u w:val="singl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w:t>
      </w:r>
      <w:r>
        <w:rPr>
          <w:rFonts w:hint="eastAsia" w:ascii="宋体" w:hAnsi="宋体"/>
          <w:color w:val="000000" w:themeColor="text1"/>
          <w:sz w:val="24"/>
          <w:szCs w:val="24"/>
          <w:highlight w:val="none"/>
          <w:u w:val="single"/>
          <w14:textFill>
            <w14:solidFill>
              <w14:schemeClr w14:val="tx1"/>
            </w14:solidFill>
          </w14:textFill>
        </w:rPr>
        <w:t xml:space="preserve">                                   （盖章）</w:t>
      </w:r>
    </w:p>
    <w:p w14:paraId="111B642D">
      <w:pPr>
        <w:spacing w:line="360" w:lineRule="auto"/>
        <w:ind w:left="420" w:leftChars="200" w:right="420" w:rightChars="200" w:firstLine="510"/>
        <w:rPr>
          <w:rFonts w:ascii="宋体" w:hAnsi="宋体"/>
          <w:color w:val="000000" w:themeColor="text1"/>
          <w:sz w:val="24"/>
          <w:szCs w:val="24"/>
          <w:highlight w:val="none"/>
          <w14:textFill>
            <w14:solidFill>
              <w14:schemeClr w14:val="tx1"/>
            </w14:solidFill>
          </w14:textFill>
        </w:rPr>
      </w:pPr>
    </w:p>
    <w:p w14:paraId="40FE58F1">
      <w:pPr>
        <w:spacing w:line="360" w:lineRule="auto"/>
        <w:ind w:left="420" w:leftChars="200" w:right="420" w:rightChars="200" w:firstLine="510"/>
        <w:rPr>
          <w:rFonts w:ascii="宋体" w:hAnsi="宋体"/>
          <w:color w:val="000000" w:themeColor="text1"/>
          <w:sz w:val="24"/>
          <w:szCs w:val="24"/>
          <w:highlight w:val="none"/>
          <w:u w:val="singl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法定代表人或其委托代理人： </w:t>
      </w:r>
      <w:r>
        <w:rPr>
          <w:rFonts w:hint="eastAsia" w:ascii="宋体" w:hAnsi="宋体"/>
          <w:color w:val="000000" w:themeColor="text1"/>
          <w:sz w:val="24"/>
          <w:szCs w:val="24"/>
          <w:highlight w:val="none"/>
          <w:u w:val="single"/>
          <w14:textFill>
            <w14:solidFill>
              <w14:schemeClr w14:val="tx1"/>
            </w14:solidFill>
          </w14:textFill>
        </w:rPr>
        <w:t xml:space="preserve">          （签字或盖章）</w:t>
      </w:r>
    </w:p>
    <w:p w14:paraId="66DB1935">
      <w:pPr>
        <w:spacing w:line="360" w:lineRule="auto"/>
        <w:ind w:left="420" w:leftChars="200" w:right="420" w:rightChars="200" w:firstLine="510"/>
        <w:rPr>
          <w:rFonts w:ascii="宋体" w:hAnsi="宋体"/>
          <w:color w:val="000000" w:themeColor="text1"/>
          <w:sz w:val="24"/>
          <w:szCs w:val="24"/>
          <w:highlight w:val="none"/>
          <w14:textFill>
            <w14:solidFill>
              <w14:schemeClr w14:val="tx1"/>
            </w14:solidFill>
          </w14:textFill>
        </w:rPr>
      </w:pPr>
    </w:p>
    <w:p w14:paraId="0F17FFAC">
      <w:pPr>
        <w:spacing w:line="360" w:lineRule="auto"/>
        <w:ind w:left="420" w:leftChars="200" w:right="420" w:rightChars="200" w:firstLine="51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日    期：</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年</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月</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日</w:t>
      </w:r>
      <w:r>
        <w:rPr>
          <w:rFonts w:ascii="宋体" w:hAnsi="宋体"/>
          <w:color w:val="000000" w:themeColor="text1"/>
          <w:sz w:val="24"/>
          <w:highlight w:val="none"/>
          <w14:textFill>
            <w14:solidFill>
              <w14:schemeClr w14:val="tx1"/>
            </w14:solidFill>
          </w14:textFill>
        </w:rPr>
        <w:br w:type="page"/>
      </w:r>
    </w:p>
    <w:p w14:paraId="1B51D568">
      <w:pPr>
        <w:spacing w:line="460" w:lineRule="exact"/>
        <w:ind w:left="-7" w:right="68"/>
        <w:jc w:val="center"/>
        <w:outlineLvl w:val="1"/>
        <w:rPr>
          <w:rFonts w:ascii="宋体" w:hAnsi="宋体"/>
          <w:b/>
          <w:color w:val="000000" w:themeColor="text1"/>
          <w:sz w:val="32"/>
          <w:szCs w:val="32"/>
          <w:highlight w:val="none"/>
          <w14:textFill>
            <w14:solidFill>
              <w14:schemeClr w14:val="tx1"/>
            </w14:solidFill>
          </w14:textFill>
        </w:rPr>
      </w:pPr>
      <w:bookmarkStart w:id="558" w:name="_Toc24969"/>
      <w:r>
        <w:rPr>
          <w:rFonts w:hint="eastAsia" w:ascii="宋体" w:hAnsi="宋体"/>
          <w:b/>
          <w:color w:val="000000" w:themeColor="text1"/>
          <w:sz w:val="32"/>
          <w:szCs w:val="32"/>
          <w:highlight w:val="none"/>
          <w14:textFill>
            <w14:solidFill>
              <w14:schemeClr w14:val="tx1"/>
            </w14:solidFill>
          </w14:textFill>
        </w:rPr>
        <w:t>二、法定代表人身份证明</w:t>
      </w:r>
      <w:bookmarkEnd w:id="558"/>
    </w:p>
    <w:p w14:paraId="664C7054">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投 标 人：</w:t>
      </w:r>
      <w:r>
        <w:rPr>
          <w:rFonts w:hint="eastAsia" w:ascii="宋体" w:hAnsi="宋体"/>
          <w:color w:val="000000" w:themeColor="text1"/>
          <w:sz w:val="24"/>
          <w:highlight w:val="none"/>
          <w:u w:val="single"/>
          <w14:textFill>
            <w14:solidFill>
              <w14:schemeClr w14:val="tx1"/>
            </w14:solidFill>
          </w14:textFill>
        </w:rPr>
        <w:t xml:space="preserve">                     </w:t>
      </w:r>
    </w:p>
    <w:p w14:paraId="0562DB0F">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单位性质：</w:t>
      </w:r>
      <w:r>
        <w:rPr>
          <w:rFonts w:hint="eastAsia" w:ascii="宋体" w:hAnsi="宋体"/>
          <w:color w:val="000000" w:themeColor="text1"/>
          <w:sz w:val="24"/>
          <w:highlight w:val="none"/>
          <w:u w:val="single"/>
          <w14:textFill>
            <w14:solidFill>
              <w14:schemeClr w14:val="tx1"/>
            </w14:solidFill>
          </w14:textFill>
        </w:rPr>
        <w:t xml:space="preserve">                     </w:t>
      </w:r>
    </w:p>
    <w:p w14:paraId="76000407">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地 址：</w:t>
      </w:r>
      <w:r>
        <w:rPr>
          <w:rFonts w:hint="eastAsia" w:ascii="宋体" w:hAnsi="宋体"/>
          <w:color w:val="000000" w:themeColor="text1"/>
          <w:sz w:val="24"/>
          <w:highlight w:val="none"/>
          <w:u w:val="single"/>
          <w14:textFill>
            <w14:solidFill>
              <w14:schemeClr w14:val="tx1"/>
            </w14:solidFill>
          </w14:textFill>
        </w:rPr>
        <w:t xml:space="preserve">                        </w:t>
      </w:r>
    </w:p>
    <w:p w14:paraId="098CA291">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成立时间：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日</w:t>
      </w:r>
    </w:p>
    <w:p w14:paraId="2211B76E">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经营期限：</w:t>
      </w:r>
      <w:r>
        <w:rPr>
          <w:rFonts w:hint="eastAsia" w:ascii="宋体" w:hAnsi="宋体"/>
          <w:color w:val="000000" w:themeColor="text1"/>
          <w:sz w:val="24"/>
          <w:highlight w:val="none"/>
          <w:u w:val="single"/>
          <w14:textFill>
            <w14:solidFill>
              <w14:schemeClr w14:val="tx1"/>
            </w14:solidFill>
          </w14:textFill>
        </w:rPr>
        <w:t xml:space="preserve">                       </w:t>
      </w:r>
    </w:p>
    <w:p w14:paraId="6C3D3639">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姓 名：</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性 别：</w:t>
      </w:r>
      <w:r>
        <w:rPr>
          <w:rFonts w:hint="eastAsia" w:ascii="宋体" w:hAnsi="宋体"/>
          <w:color w:val="000000" w:themeColor="text1"/>
          <w:sz w:val="24"/>
          <w:highlight w:val="none"/>
          <w:u w:val="single"/>
          <w14:textFill>
            <w14:solidFill>
              <w14:schemeClr w14:val="tx1"/>
            </w14:solidFill>
          </w14:textFill>
        </w:rPr>
        <w:t xml:space="preserve">          </w:t>
      </w:r>
    </w:p>
    <w:p w14:paraId="58A5C7DE">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年 龄：</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职 务：</w:t>
      </w:r>
      <w:r>
        <w:rPr>
          <w:rFonts w:hint="eastAsia" w:ascii="宋体" w:hAnsi="宋体"/>
          <w:color w:val="000000" w:themeColor="text1"/>
          <w:sz w:val="24"/>
          <w:highlight w:val="none"/>
          <w:u w:val="single"/>
          <w14:textFill>
            <w14:solidFill>
              <w14:schemeClr w14:val="tx1"/>
            </w14:solidFill>
          </w14:textFill>
        </w:rPr>
        <w:t xml:space="preserve">          </w:t>
      </w:r>
    </w:p>
    <w:p w14:paraId="5D9797FA">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系</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(投标人名称)的法定代表人。</w:t>
      </w:r>
    </w:p>
    <w:p w14:paraId="18701643">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特此证明。</w:t>
      </w:r>
    </w:p>
    <w:p w14:paraId="68C587D0">
      <w:pPr>
        <w:shd w:val="clear" w:color="auto" w:fill="FFFFFF"/>
        <w:snapToGrid w:val="0"/>
        <w:spacing w:before="100" w:beforeAutospacing="1" w:after="100" w:afterAutospacing="1" w:line="360" w:lineRule="auto"/>
        <w:jc w:val="righ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投标人：</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(盖单位公章)</w:t>
      </w:r>
    </w:p>
    <w:p w14:paraId="70D145FE">
      <w:pPr>
        <w:shd w:val="clear" w:color="auto" w:fill="FFFFFF"/>
        <w:snapToGrid w:val="0"/>
        <w:spacing w:before="100" w:beforeAutospacing="1" w:after="100" w:afterAutospacing="1" w:line="360" w:lineRule="auto"/>
        <w:jc w:val="righ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日 </w:t>
      </w:r>
    </w:p>
    <w:p w14:paraId="4AF989FD">
      <w:pPr>
        <w:shd w:val="clear" w:color="auto" w:fill="FFFFFF"/>
        <w:snapToGrid w:val="0"/>
        <w:spacing w:before="100" w:beforeAutospacing="1" w:after="100" w:afterAutospacing="1" w:line="360" w:lineRule="auto"/>
        <w:rPr>
          <w:rFonts w:ascii="宋体" w:hAnsi="宋体"/>
          <w:color w:val="000000" w:themeColor="text1"/>
          <w:highlight w:val="none"/>
          <w14:textFill>
            <w14:solidFill>
              <w14:schemeClr w14:val="tx1"/>
            </w14:solidFill>
          </w14:textFill>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6C77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4" w:hRule="atLeast"/>
          <w:jc w:val="center"/>
        </w:trPr>
        <w:tc>
          <w:tcPr>
            <w:tcW w:w="8720" w:type="dxa"/>
            <w:noWrap w:val="0"/>
            <w:vAlign w:val="top"/>
          </w:tcPr>
          <w:p w14:paraId="23BD78AB">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28CD38E4">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3B8FD080">
            <w:pPr>
              <w:spacing w:line="460" w:lineRule="exact"/>
              <w:ind w:right="68"/>
              <w:jc w:val="center"/>
              <w:outlineLvl w:val="1"/>
              <w:rPr>
                <w:rFonts w:hint="default" w:ascii="宋体" w:hAnsi="宋体" w:eastAsia="宋体"/>
                <w:b/>
                <w:color w:val="000000" w:themeColor="text1"/>
                <w:sz w:val="32"/>
                <w:szCs w:val="32"/>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法定代表人身份证复印件</w:t>
            </w:r>
          </w:p>
        </w:tc>
      </w:tr>
    </w:tbl>
    <w:p w14:paraId="35BA4E37">
      <w:pPr>
        <w:pStyle w:val="21"/>
        <w:rPr>
          <w:rFonts w:ascii="宋体" w:hAnsi="宋体"/>
          <w:color w:val="000000" w:themeColor="text1"/>
          <w:highlight w:val="none"/>
          <w14:textFill>
            <w14:solidFill>
              <w14:schemeClr w14:val="tx1"/>
            </w14:solidFill>
          </w14:textFill>
        </w:rPr>
      </w:pPr>
    </w:p>
    <w:p w14:paraId="4EDDB86B">
      <w:pPr>
        <w:rPr>
          <w:rFonts w:ascii="宋体" w:hAnsi="宋体"/>
          <w:color w:val="000000" w:themeColor="text1"/>
          <w:highlight w:val="none"/>
          <w14:textFill>
            <w14:solidFill>
              <w14:schemeClr w14:val="tx1"/>
            </w14:solidFill>
          </w14:textFill>
        </w:rPr>
      </w:pPr>
    </w:p>
    <w:p w14:paraId="7DDE564E">
      <w:pPr>
        <w:pStyle w:val="21"/>
        <w:ind w:left="0" w:leftChars="0" w:firstLine="0" w:firstLineChars="0"/>
        <w:rPr>
          <w:color w:val="000000" w:themeColor="text1"/>
          <w:highlight w:val="none"/>
          <w14:textFill>
            <w14:solidFill>
              <w14:schemeClr w14:val="tx1"/>
            </w14:solidFill>
          </w14:textFill>
        </w:rPr>
      </w:pPr>
    </w:p>
    <w:p w14:paraId="40F7B26C">
      <w:pPr>
        <w:spacing w:line="460" w:lineRule="exact"/>
        <w:ind w:left="-7" w:right="68"/>
        <w:jc w:val="center"/>
        <w:outlineLvl w:val="1"/>
        <w:rPr>
          <w:rFonts w:ascii="宋体" w:hAnsi="宋体"/>
          <w:b/>
          <w:color w:val="000000" w:themeColor="text1"/>
          <w:sz w:val="32"/>
          <w:szCs w:val="32"/>
          <w:highlight w:val="none"/>
          <w14:textFill>
            <w14:solidFill>
              <w14:schemeClr w14:val="tx1"/>
            </w14:solidFill>
          </w14:textFill>
        </w:rPr>
      </w:pPr>
      <w:bookmarkStart w:id="559" w:name="_Toc22674"/>
      <w:r>
        <w:rPr>
          <w:rFonts w:hint="eastAsia" w:ascii="宋体" w:hAnsi="宋体"/>
          <w:b/>
          <w:color w:val="000000" w:themeColor="text1"/>
          <w:sz w:val="32"/>
          <w:szCs w:val="32"/>
          <w:highlight w:val="none"/>
          <w14:textFill>
            <w14:solidFill>
              <w14:schemeClr w14:val="tx1"/>
            </w14:solidFill>
          </w14:textFill>
        </w:rPr>
        <w:t>三、授权委托书（如果有）</w:t>
      </w:r>
      <w:bookmarkEnd w:id="559"/>
    </w:p>
    <w:p w14:paraId="7300FE7F">
      <w:pPr>
        <w:spacing w:line="560" w:lineRule="exact"/>
        <w:ind w:firstLine="480" w:firstLineChars="200"/>
        <w:rPr>
          <w:rFonts w:ascii="宋体" w:hAnsi="宋体"/>
          <w:bCs/>
          <w:color w:val="000000" w:themeColor="text1"/>
          <w:spacing w:val="20"/>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本人</w:t>
      </w:r>
      <w:r>
        <w:rPr>
          <w:rFonts w:hint="eastAsia" w:ascii="宋体" w:hAnsi="宋体"/>
          <w:color w:val="000000" w:themeColor="text1"/>
          <w:sz w:val="24"/>
          <w:highlight w:val="none"/>
          <w:u w:val="single"/>
          <w14:textFill>
            <w14:solidFill>
              <w14:schemeClr w14:val="tx1"/>
            </w14:solidFill>
          </w14:textFill>
        </w:rPr>
        <w:t xml:space="preserve"> （姓名）</w:t>
      </w:r>
      <w:r>
        <w:rPr>
          <w:rFonts w:hint="eastAsia" w:ascii="宋体" w:hAnsi="宋体"/>
          <w:color w:val="000000" w:themeColor="text1"/>
          <w:sz w:val="24"/>
          <w:highlight w:val="none"/>
          <w14:textFill>
            <w14:solidFill>
              <w14:schemeClr w14:val="tx1"/>
            </w14:solidFill>
          </w14:textFill>
        </w:rPr>
        <w:t>系</w:t>
      </w:r>
      <w:r>
        <w:rPr>
          <w:rFonts w:hint="eastAsia" w:ascii="宋体" w:hAnsi="宋体"/>
          <w:color w:val="000000" w:themeColor="text1"/>
          <w:sz w:val="24"/>
          <w:highlight w:val="none"/>
          <w:u w:val="single"/>
          <w14:textFill>
            <w14:solidFill>
              <w14:schemeClr w14:val="tx1"/>
            </w14:solidFill>
          </w14:textFill>
        </w:rPr>
        <w:t xml:space="preserve">  （投标人名称）  </w:t>
      </w:r>
      <w:r>
        <w:rPr>
          <w:rFonts w:hint="eastAsia" w:ascii="宋体" w:hAnsi="宋体"/>
          <w:color w:val="000000" w:themeColor="text1"/>
          <w:sz w:val="24"/>
          <w:highlight w:val="none"/>
          <w14:textFill>
            <w14:solidFill>
              <w14:schemeClr w14:val="tx1"/>
            </w14:solidFill>
          </w14:textFill>
        </w:rPr>
        <w:t>的法定代表人，现委托</w:t>
      </w:r>
      <w:r>
        <w:rPr>
          <w:rFonts w:hint="eastAsia" w:ascii="宋体" w:hAnsi="宋体"/>
          <w:color w:val="000000" w:themeColor="text1"/>
          <w:sz w:val="24"/>
          <w:highlight w:val="none"/>
          <w:u w:val="single"/>
          <w14:textFill>
            <w14:solidFill>
              <w14:schemeClr w14:val="tx1"/>
            </w14:solidFill>
          </w14:textFill>
        </w:rPr>
        <w:t xml:space="preserve"> （投标人名称） 的（姓名）</w:t>
      </w:r>
      <w:r>
        <w:rPr>
          <w:rFonts w:hint="eastAsia" w:ascii="宋体" w:hAnsi="宋体"/>
          <w:color w:val="000000" w:themeColor="text1"/>
          <w:sz w:val="24"/>
          <w:highlight w:val="none"/>
          <w14:textFill>
            <w14:solidFill>
              <w14:schemeClr w14:val="tx1"/>
            </w14:solidFill>
          </w14:textFill>
        </w:rPr>
        <w:t>为我方代理人。代理人根据授权，以我方名义签署、澄清、说明、补正、递交、撤回、修改</w:t>
      </w:r>
      <w:r>
        <w:rPr>
          <w:rFonts w:hint="eastAsia" w:ascii="宋体" w:hAnsi="宋体"/>
          <w:color w:val="000000" w:themeColor="text1"/>
          <w:sz w:val="24"/>
          <w:highlight w:val="none"/>
          <w:u w:val="single"/>
          <w14:textFill>
            <w14:solidFill>
              <w14:schemeClr w14:val="tx1"/>
            </w14:solidFill>
          </w14:textFill>
        </w:rPr>
        <w:t xml:space="preserve"> （工程名称）</w:t>
      </w:r>
      <w:r>
        <w:rPr>
          <w:rFonts w:hint="eastAsia" w:ascii="宋体" w:hAnsi="宋体"/>
          <w:bCs/>
          <w:color w:val="000000" w:themeColor="text1"/>
          <w:spacing w:val="20"/>
          <w:sz w:val="24"/>
          <w:highlight w:val="none"/>
          <w14:textFill>
            <w14:solidFill>
              <w14:schemeClr w14:val="tx1"/>
            </w14:solidFill>
          </w14:textFill>
        </w:rPr>
        <w:t>施工投标文件、签订合同和处理质疑投诉有关事宜，其法律后果由我方承担。</w:t>
      </w:r>
    </w:p>
    <w:p w14:paraId="53A81B2A">
      <w:pPr>
        <w:spacing w:line="560" w:lineRule="exact"/>
        <w:ind w:firstLine="560" w:firstLineChars="200"/>
        <w:rPr>
          <w:rFonts w:ascii="宋体" w:hAnsi="宋体"/>
          <w:bCs/>
          <w:color w:val="000000" w:themeColor="text1"/>
          <w:spacing w:val="20"/>
          <w:sz w:val="24"/>
          <w:highlight w:val="none"/>
          <w14:textFill>
            <w14:solidFill>
              <w14:schemeClr w14:val="tx1"/>
            </w14:solidFill>
          </w14:textFill>
        </w:rPr>
      </w:pPr>
      <w:r>
        <w:rPr>
          <w:rFonts w:hint="eastAsia" w:ascii="宋体" w:hAnsi="宋体"/>
          <w:bCs/>
          <w:color w:val="000000" w:themeColor="text1"/>
          <w:spacing w:val="20"/>
          <w:sz w:val="24"/>
          <w:highlight w:val="none"/>
          <w14:textFill>
            <w14:solidFill>
              <w14:schemeClr w14:val="tx1"/>
            </w14:solidFill>
          </w14:textFill>
        </w:rPr>
        <w:t>委托期限：</w:t>
      </w:r>
      <w:r>
        <w:rPr>
          <w:rFonts w:hint="eastAsia" w:ascii="宋体" w:hAnsi="宋体"/>
          <w:bCs/>
          <w:color w:val="000000" w:themeColor="text1"/>
          <w:spacing w:val="20"/>
          <w:sz w:val="24"/>
          <w:highlight w:val="none"/>
          <w:u w:val="single"/>
          <w14:textFill>
            <w14:solidFill>
              <w14:schemeClr w14:val="tx1"/>
            </w14:solidFill>
          </w14:textFill>
        </w:rPr>
        <w:t xml:space="preserve">                   </w:t>
      </w:r>
    </w:p>
    <w:p w14:paraId="4A53B349">
      <w:pPr>
        <w:spacing w:line="500" w:lineRule="exact"/>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代理人无转委托权。</w:t>
      </w:r>
    </w:p>
    <w:p w14:paraId="56D0079B">
      <w:pPr>
        <w:spacing w:line="500" w:lineRule="exact"/>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附：法定代表人身份证明</w:t>
      </w:r>
    </w:p>
    <w:p w14:paraId="1C7DB06E">
      <w:pPr>
        <w:spacing w:before="72" w:beforeLines="30" w:after="72" w:afterLines="30"/>
        <w:ind w:firstLine="480" w:firstLineChars="200"/>
        <w:rPr>
          <w:rFonts w:ascii="宋体" w:hAnsi="宋体"/>
          <w:color w:val="000000" w:themeColor="text1"/>
          <w:sz w:val="24"/>
          <w:highlight w:val="none"/>
          <w14:textFill>
            <w14:solidFill>
              <w14:schemeClr w14:val="tx1"/>
            </w14:solidFill>
          </w14:textFill>
        </w:rPr>
      </w:pPr>
    </w:p>
    <w:p w14:paraId="77110571">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投标单位：</w:t>
      </w:r>
      <w:r>
        <w:rPr>
          <w:rFonts w:hint="eastAsia" w:ascii="宋体" w:hAnsi="宋体"/>
          <w:color w:val="000000" w:themeColor="text1"/>
          <w:sz w:val="24"/>
          <w:highlight w:val="none"/>
          <w:u w:val="single"/>
          <w14:textFill>
            <w14:solidFill>
              <w14:schemeClr w14:val="tx1"/>
            </w14:solidFill>
          </w14:textFill>
        </w:rPr>
        <w:t xml:space="preserve">                                  （盖章）</w:t>
      </w:r>
    </w:p>
    <w:p w14:paraId="4136FF01">
      <w:pPr>
        <w:spacing w:before="72" w:beforeLines="30" w:after="72" w:afterLines="30"/>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法定代表人：</w:t>
      </w:r>
      <w:r>
        <w:rPr>
          <w:rFonts w:hint="eastAsia" w:ascii="宋体" w:hAnsi="宋体"/>
          <w:color w:val="000000" w:themeColor="text1"/>
          <w:sz w:val="24"/>
          <w:highlight w:val="none"/>
          <w:u w:val="single"/>
          <w14:textFill>
            <w14:solidFill>
              <w14:schemeClr w14:val="tx1"/>
            </w14:solidFill>
          </w14:textFill>
        </w:rPr>
        <w:t xml:space="preserve">                           （签字或盖章）</w:t>
      </w:r>
    </w:p>
    <w:p w14:paraId="0AAA6E71">
      <w:pPr>
        <w:spacing w:before="72" w:beforeLines="30" w:after="72" w:afterLines="30"/>
        <w:ind w:firstLine="480" w:firstLineChars="200"/>
        <w:rPr>
          <w:rFonts w:ascii="宋体" w:hAnsi="宋体"/>
          <w:color w:val="000000" w:themeColor="text1"/>
          <w:sz w:val="24"/>
          <w:highlight w:val="none"/>
          <w14:textFill>
            <w14:solidFill>
              <w14:schemeClr w14:val="tx1"/>
            </w14:solidFill>
          </w14:textFill>
        </w:rPr>
      </w:pPr>
    </w:p>
    <w:p w14:paraId="55A578A7">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委托代理人：</w:t>
      </w:r>
      <w:r>
        <w:rPr>
          <w:rFonts w:hint="eastAsia" w:ascii="宋体" w:hAnsi="宋体"/>
          <w:color w:val="000000" w:themeColor="text1"/>
          <w:sz w:val="24"/>
          <w:highlight w:val="none"/>
          <w:u w:val="single"/>
          <w14:textFill>
            <w14:solidFill>
              <w14:schemeClr w14:val="tx1"/>
            </w14:solidFill>
          </w14:textFill>
        </w:rPr>
        <w:t xml:space="preserve">                                 （签字）</w:t>
      </w:r>
    </w:p>
    <w:p w14:paraId="7FB9CDC4">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委托代理人居民身份证号码：</w:t>
      </w:r>
      <w:r>
        <w:rPr>
          <w:rFonts w:hint="eastAsia" w:ascii="宋体" w:hAnsi="宋体"/>
          <w:color w:val="000000" w:themeColor="text1"/>
          <w:sz w:val="24"/>
          <w:highlight w:val="none"/>
          <w:u w:val="single"/>
          <w14:textFill>
            <w14:solidFill>
              <w14:schemeClr w14:val="tx1"/>
            </w14:solidFill>
          </w14:textFill>
        </w:rPr>
        <w:t xml:space="preserve">                                </w:t>
      </w:r>
    </w:p>
    <w:p w14:paraId="6F05BD7E">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委托代理人电话号码：</w:t>
      </w:r>
      <w:r>
        <w:rPr>
          <w:rFonts w:hint="eastAsia" w:ascii="宋体" w:hAnsi="宋体"/>
          <w:color w:val="000000" w:themeColor="text1"/>
          <w:sz w:val="24"/>
          <w:highlight w:val="none"/>
          <w:u w:val="single"/>
          <w14:textFill>
            <w14:solidFill>
              <w14:schemeClr w14:val="tx1"/>
            </w14:solidFill>
          </w14:textFill>
        </w:rPr>
        <w:t xml:space="preserve">                                 </w:t>
      </w:r>
    </w:p>
    <w:p w14:paraId="688255E4">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联系电话：</w:t>
      </w:r>
      <w:r>
        <w:rPr>
          <w:rFonts w:hint="eastAsia" w:ascii="宋体" w:hAnsi="宋体"/>
          <w:color w:val="000000" w:themeColor="text1"/>
          <w:sz w:val="24"/>
          <w:highlight w:val="none"/>
          <w:u w:val="single"/>
          <w14:textFill>
            <w14:solidFill>
              <w14:schemeClr w14:val="tx1"/>
            </w14:solidFill>
          </w14:textFill>
        </w:rPr>
        <w:t xml:space="preserve">           </w:t>
      </w:r>
    </w:p>
    <w:p w14:paraId="199C7983">
      <w:pPr>
        <w:spacing w:line="500" w:lineRule="exact"/>
        <w:ind w:firstLine="3753" w:firstLineChars="1564"/>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日</w:t>
      </w:r>
    </w:p>
    <w:p w14:paraId="78D0ED8C">
      <w:pPr>
        <w:spacing w:line="460" w:lineRule="exact"/>
        <w:ind w:left="-7" w:right="68"/>
        <w:jc w:val="center"/>
        <w:outlineLvl w:val="1"/>
        <w:rPr>
          <w:rFonts w:ascii="宋体" w:hAnsi="宋体"/>
          <w:b/>
          <w:color w:val="000000" w:themeColor="text1"/>
          <w:sz w:val="32"/>
          <w:szCs w:val="32"/>
          <w:highlight w:val="none"/>
          <w14:textFill>
            <w14:solidFill>
              <w14:schemeClr w14:val="tx1"/>
            </w14:solidFill>
          </w14:textFill>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46EB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jc w:val="center"/>
        </w:trPr>
        <w:tc>
          <w:tcPr>
            <w:tcW w:w="8920" w:type="dxa"/>
            <w:noWrap w:val="0"/>
            <w:vAlign w:val="top"/>
          </w:tcPr>
          <w:p w14:paraId="51ED2A94">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69452B1F">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5EB7967B">
            <w:pPr>
              <w:spacing w:line="460" w:lineRule="exact"/>
              <w:ind w:right="68"/>
              <w:jc w:val="center"/>
              <w:outlineLvl w:val="1"/>
              <w:rPr>
                <w:rFonts w:hint="default" w:ascii="宋体" w:hAnsi="宋体" w:eastAsia="宋体"/>
                <w:b/>
                <w:color w:val="000000" w:themeColor="text1"/>
                <w:sz w:val="32"/>
                <w:szCs w:val="32"/>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法定代表人身份证复印件</w:t>
            </w:r>
          </w:p>
        </w:tc>
      </w:tr>
    </w:tbl>
    <w:tbl>
      <w:tblPr>
        <w:tblStyle w:val="17"/>
        <w:tblpPr w:leftFromText="180" w:rightFromText="180" w:vertAnchor="text" w:horzAnchor="page" w:tblpXSpec="center" w:tblpY="24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5D29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jc w:val="center"/>
        </w:trPr>
        <w:tc>
          <w:tcPr>
            <w:tcW w:w="8920" w:type="dxa"/>
            <w:noWrap w:val="0"/>
            <w:vAlign w:val="top"/>
          </w:tcPr>
          <w:p w14:paraId="64BD7734">
            <w:pPr>
              <w:spacing w:line="460" w:lineRule="exact"/>
              <w:ind w:right="68"/>
              <w:jc w:val="center"/>
              <w:outlineLvl w:val="1"/>
              <w:rPr>
                <w:rFonts w:ascii="宋体" w:hAnsi="宋体"/>
                <w:color w:val="000000" w:themeColor="text1"/>
                <w:sz w:val="24"/>
                <w:highlight w:val="none"/>
                <w14:textFill>
                  <w14:solidFill>
                    <w14:schemeClr w14:val="tx1"/>
                  </w14:solidFill>
                </w14:textFill>
              </w:rPr>
            </w:pPr>
            <w:bookmarkStart w:id="560" w:name="_Toc15849"/>
            <w:bookmarkStart w:id="561" w:name="_Toc39863048"/>
          </w:p>
          <w:p w14:paraId="450215D6">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5F7EE5F9">
            <w:pPr>
              <w:spacing w:line="460" w:lineRule="exact"/>
              <w:ind w:right="68"/>
              <w:jc w:val="center"/>
              <w:outlineLvl w:val="1"/>
              <w:rPr>
                <w:rFonts w:ascii="宋体" w:hAnsi="宋体"/>
                <w:b/>
                <w:color w:val="000000" w:themeColor="text1"/>
                <w:sz w:val="32"/>
                <w:szCs w:val="32"/>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授权委托人身份证复印件</w:t>
            </w:r>
          </w:p>
        </w:tc>
      </w:tr>
    </w:tbl>
    <w:p w14:paraId="37D197B7">
      <w:pPr>
        <w:rPr>
          <w:rFonts w:hint="eastAsia" w:ascii="宋体" w:hAnsi="宋体"/>
          <w:b/>
          <w:color w:val="000000" w:themeColor="text1"/>
          <w:sz w:val="32"/>
          <w:szCs w:val="32"/>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38FCBE6A">
      <w:pPr>
        <w:spacing w:line="460" w:lineRule="exact"/>
        <w:ind w:right="68"/>
        <w:jc w:val="center"/>
        <w:outlineLvl w:val="1"/>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四、资格审查资料</w:t>
      </w:r>
      <w:bookmarkEnd w:id="560"/>
      <w:bookmarkEnd w:id="561"/>
    </w:p>
    <w:p w14:paraId="76DBEFE6">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1 </w:t>
      </w:r>
      <w:r>
        <w:rPr>
          <w:rFonts w:hint="eastAsia" w:ascii="宋体" w:hAnsi="宋体"/>
          <w:color w:val="000000" w:themeColor="text1"/>
          <w:sz w:val="24"/>
          <w:highlight w:val="none"/>
          <w14:textFill>
            <w14:solidFill>
              <w14:schemeClr w14:val="tx1"/>
            </w14:solidFill>
          </w14:textFill>
        </w:rPr>
        <w:t>投标人有效的营业执照（副本）。</w:t>
      </w:r>
    </w:p>
    <w:p w14:paraId="14EAAF4F">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2 </w:t>
      </w:r>
      <w:r>
        <w:rPr>
          <w:rFonts w:hint="eastAsia" w:ascii="宋体" w:hAnsi="宋体"/>
          <w:color w:val="000000" w:themeColor="text1"/>
          <w:sz w:val="24"/>
          <w:highlight w:val="none"/>
          <w14:textFill>
            <w14:solidFill>
              <w14:schemeClr w14:val="tx1"/>
            </w14:solidFill>
          </w14:textFill>
        </w:rPr>
        <w:t>投标人有效的施工资质证书（副本）。</w:t>
      </w:r>
    </w:p>
    <w:p w14:paraId="49659748">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3 </w:t>
      </w:r>
      <w:r>
        <w:rPr>
          <w:rFonts w:hint="eastAsia" w:ascii="宋体" w:hAnsi="宋体"/>
          <w:color w:val="000000" w:themeColor="text1"/>
          <w:sz w:val="24"/>
          <w:highlight w:val="none"/>
          <w14:textFill>
            <w14:solidFill>
              <w14:schemeClr w14:val="tx1"/>
            </w14:solidFill>
          </w14:textFill>
        </w:rPr>
        <w:t>投标人有效的企业安全生产许可证（副本）。</w:t>
      </w:r>
    </w:p>
    <w:p w14:paraId="7CD98046">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4 </w:t>
      </w:r>
      <w:r>
        <w:rPr>
          <w:rFonts w:hint="eastAsia" w:ascii="宋体" w:hAnsi="宋体"/>
          <w:color w:val="000000" w:themeColor="text1"/>
          <w:sz w:val="24"/>
          <w:highlight w:val="none"/>
          <w14:textFill>
            <w14:solidFill>
              <w14:schemeClr w14:val="tx1"/>
            </w14:solidFill>
          </w14:textFill>
        </w:rPr>
        <w:t>投标项目负责人有效的安全生产考核合格证（B 类）。</w:t>
      </w:r>
    </w:p>
    <w:p w14:paraId="56B147BD">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5 </w:t>
      </w:r>
      <w:r>
        <w:rPr>
          <w:rFonts w:hint="eastAsia" w:ascii="宋体" w:hAnsi="宋体"/>
          <w:color w:val="000000" w:themeColor="text1"/>
          <w:sz w:val="24"/>
          <w:highlight w:val="none"/>
          <w14:textFill>
            <w14:solidFill>
              <w14:schemeClr w14:val="tx1"/>
            </w14:solidFill>
          </w14:textFill>
        </w:rPr>
        <w:t>符合招标文件约定要求的项目负责人的建造师注册证书。</w:t>
      </w:r>
    </w:p>
    <w:p w14:paraId="5CA3EDB0">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6 </w:t>
      </w:r>
      <w:r>
        <w:rPr>
          <w:rFonts w:hint="eastAsia" w:ascii="宋体" w:hAnsi="宋体"/>
          <w:color w:val="000000" w:themeColor="text1"/>
          <w:sz w:val="24"/>
          <w:highlight w:val="none"/>
          <w14:textFill>
            <w14:solidFill>
              <w14:schemeClr w14:val="tx1"/>
            </w14:solidFill>
          </w14:textFill>
        </w:rPr>
        <w:t>企业基本开户许可证或企业银行基本存款账户开户基本信息加盖投标人单位公章。</w:t>
      </w:r>
    </w:p>
    <w:p w14:paraId="664BF9E8">
      <w:pPr>
        <w:spacing w:before="60" w:beforeLines="25" w:after="60" w:afterLines="25" w:line="360" w:lineRule="auto"/>
        <w:ind w:firstLine="240" w:firstLineChars="100"/>
        <w:rPr>
          <w:rFonts w:hint="default"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7 </w:t>
      </w:r>
      <w:r>
        <w:rPr>
          <w:rFonts w:hint="eastAsia" w:ascii="宋体" w:hAnsi="宋体"/>
          <w:color w:val="000000" w:themeColor="text1"/>
          <w:sz w:val="24"/>
          <w:szCs w:val="24"/>
          <w:highlight w:val="none"/>
          <w:lang w:val="en-US" w:eastAsia="zh-CN"/>
          <w14:textFill>
            <w14:solidFill>
              <w14:schemeClr w14:val="tx1"/>
            </w14:solidFill>
          </w14:textFill>
        </w:rPr>
        <w:t>项目负责人及被授权委托人（如果有）养老保险证明</w:t>
      </w:r>
      <w:r>
        <w:rPr>
          <w:rFonts w:hint="eastAsia" w:ascii="宋体" w:hAnsi="宋体"/>
          <w:color w:val="000000" w:themeColor="text1"/>
          <w:sz w:val="24"/>
          <w:szCs w:val="24"/>
          <w:highlight w:val="none"/>
          <w14:textFill>
            <w14:solidFill>
              <w14:schemeClr w14:val="tx1"/>
            </w14:solidFill>
          </w14:textFill>
        </w:rPr>
        <w:t>加盖投标单位公章</w:t>
      </w:r>
    </w:p>
    <w:p w14:paraId="17A8A85A">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8 </w:t>
      </w:r>
      <w:r>
        <w:rPr>
          <w:rFonts w:hint="eastAsia" w:ascii="宋体" w:hAnsi="宋体"/>
          <w:color w:val="000000" w:themeColor="text1"/>
          <w:sz w:val="24"/>
          <w:highlight w:val="none"/>
          <w14:textFill>
            <w14:solidFill>
              <w14:schemeClr w14:val="tx1"/>
            </w14:solidFill>
          </w14:textFill>
        </w:rPr>
        <w:t>招标文件要求的其它证明资料。</w:t>
      </w:r>
    </w:p>
    <w:p w14:paraId="25EB3633">
      <w:pPr>
        <w:spacing w:before="60" w:beforeLines="25" w:after="60" w:afterLines="25" w:line="360" w:lineRule="auto"/>
        <w:ind w:firstLine="241" w:firstLineChars="100"/>
        <w:rPr>
          <w:rFonts w:ascii="宋体" w:hAnsi="宋体"/>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val="en-US" w:eastAsia="zh-CN"/>
          <w14:textFill>
            <w14:solidFill>
              <w14:schemeClr w14:val="tx1"/>
            </w14:solidFill>
          </w14:textFill>
        </w:rPr>
        <w:t>注：</w:t>
      </w:r>
      <w:r>
        <w:rPr>
          <w:rFonts w:hint="eastAsia" w:ascii="宋体" w:hAnsi="宋体"/>
          <w:b/>
          <w:bCs/>
          <w:color w:val="000000" w:themeColor="text1"/>
          <w:sz w:val="24"/>
          <w:highlight w:val="none"/>
          <w:lang w:eastAsia="zh-CN"/>
          <w14:textFill>
            <w14:solidFill>
              <w14:schemeClr w14:val="tx1"/>
            </w14:solidFill>
          </w14:textFill>
        </w:rPr>
        <w:t>上述资格审查</w:t>
      </w:r>
      <w:r>
        <w:rPr>
          <w:rFonts w:hint="eastAsia" w:ascii="宋体" w:hAnsi="宋体"/>
          <w:b/>
          <w:bCs/>
          <w:color w:val="000000" w:themeColor="text1"/>
          <w:sz w:val="24"/>
          <w:highlight w:val="none"/>
          <w:lang w:val="en-US" w:eastAsia="zh-CN"/>
          <w14:textFill>
            <w14:solidFill>
              <w14:schemeClr w14:val="tx1"/>
            </w14:solidFill>
          </w14:textFill>
        </w:rPr>
        <w:t>材料须为原件彩色扫描件并加盖单位公章。</w:t>
      </w:r>
      <w:r>
        <w:rPr>
          <w:rFonts w:hint="eastAsia" w:ascii="宋体" w:hAnsi="宋体"/>
          <w:b/>
          <w:bCs/>
          <w:color w:val="000000" w:themeColor="text1"/>
          <w:sz w:val="24"/>
          <w:highlight w:val="none"/>
          <w14:textFill>
            <w14:solidFill>
              <w14:schemeClr w14:val="tx1"/>
            </w14:solidFill>
          </w14:textFill>
        </w:rPr>
        <w:t>否则资格审查不予通过。</w:t>
      </w:r>
    </w:p>
    <w:p w14:paraId="5E5D0251">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ascii="宋体" w:hAnsi="宋体"/>
          <w:b/>
          <w:color w:val="000000" w:themeColor="text1"/>
          <w:sz w:val="30"/>
          <w:szCs w:val="30"/>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br w:type="page"/>
      </w:r>
      <w:bookmarkStart w:id="562" w:name="_Toc39863049"/>
      <w:bookmarkStart w:id="563" w:name="_Toc26184"/>
      <w:r>
        <w:rPr>
          <w:rFonts w:hint="eastAsia" w:ascii="宋体" w:hAnsi="宋体"/>
          <w:b/>
          <w:color w:val="000000" w:themeColor="text1"/>
          <w:sz w:val="30"/>
          <w:szCs w:val="30"/>
          <w:highlight w:val="none"/>
          <w14:textFill>
            <w14:solidFill>
              <w14:schemeClr w14:val="tx1"/>
            </w14:solidFill>
          </w14:textFill>
        </w:rPr>
        <w:t>五、已标价工程量清单</w:t>
      </w:r>
      <w:bookmarkEnd w:id="562"/>
      <w:bookmarkEnd w:id="563"/>
    </w:p>
    <w:p w14:paraId="05881E49">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551A832B">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387F3C55">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6E374E32">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45906604">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431EC4F6">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7144F7BE">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6E9DA189">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00C1AA99">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2937110E">
      <w:pPr>
        <w:spacing w:line="500" w:lineRule="exact"/>
        <w:outlineLvl w:val="1"/>
        <w:rPr>
          <w:rFonts w:ascii="宋体" w:hAnsi="宋体"/>
          <w:b/>
          <w:color w:val="000000" w:themeColor="text1"/>
          <w:sz w:val="30"/>
          <w:szCs w:val="30"/>
          <w:highlight w:val="none"/>
          <w14:textFill>
            <w14:solidFill>
              <w14:schemeClr w14:val="tx1"/>
            </w14:solidFill>
          </w14:textFill>
        </w:rPr>
      </w:pPr>
      <w:bookmarkStart w:id="564" w:name="_Toc39863050"/>
    </w:p>
    <w:p w14:paraId="04EB626F">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215710D8">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74C5AC23">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6C3CB8A5">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55747F70">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0A27EBA2">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3547B95E">
      <w:pPr>
        <w:rPr>
          <w:rFonts w:hint="eastAsia" w:ascii="宋体" w:hAnsi="宋体"/>
          <w:b/>
          <w:color w:val="000000" w:themeColor="text1"/>
          <w:sz w:val="30"/>
          <w:szCs w:val="30"/>
          <w:highlight w:val="none"/>
          <w14:textFill>
            <w14:solidFill>
              <w14:schemeClr w14:val="tx1"/>
            </w14:solidFill>
          </w14:textFill>
        </w:rPr>
      </w:pPr>
      <w:r>
        <w:rPr>
          <w:rFonts w:hint="eastAsia" w:ascii="宋体" w:hAnsi="宋体"/>
          <w:b/>
          <w:color w:val="000000" w:themeColor="text1"/>
          <w:sz w:val="30"/>
          <w:szCs w:val="30"/>
          <w:highlight w:val="none"/>
          <w14:textFill>
            <w14:solidFill>
              <w14:schemeClr w14:val="tx1"/>
            </w14:solidFill>
          </w14:textFill>
        </w:rPr>
        <w:br w:type="page"/>
      </w:r>
    </w:p>
    <w:p w14:paraId="03785AD5">
      <w:pPr>
        <w:spacing w:line="500" w:lineRule="exact"/>
        <w:jc w:val="center"/>
        <w:outlineLvl w:val="1"/>
        <w:rPr>
          <w:rFonts w:ascii="宋体" w:hAnsi="宋体"/>
          <w:b/>
          <w:color w:val="000000" w:themeColor="text1"/>
          <w:sz w:val="30"/>
          <w:szCs w:val="30"/>
          <w:highlight w:val="none"/>
          <w14:textFill>
            <w14:solidFill>
              <w14:schemeClr w14:val="tx1"/>
            </w14:solidFill>
          </w14:textFill>
        </w:rPr>
      </w:pPr>
      <w:r>
        <w:rPr>
          <w:rFonts w:hint="eastAsia" w:ascii="宋体" w:hAnsi="宋体"/>
          <w:b/>
          <w:color w:val="000000" w:themeColor="text1"/>
          <w:sz w:val="30"/>
          <w:szCs w:val="30"/>
          <w:highlight w:val="none"/>
          <w14:textFill>
            <w14:solidFill>
              <w14:schemeClr w14:val="tx1"/>
            </w14:solidFill>
          </w14:textFill>
        </w:rPr>
        <w:t>六、招标文件要求的其他资料</w:t>
      </w:r>
      <w:bookmarkEnd w:id="564"/>
    </w:p>
    <w:p w14:paraId="021C236F">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3D9D26DA">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69F279AF">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70B1B480">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67E333A3">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6DC6F82B">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7099C102">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1DBCB978">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56783D74">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71D98532">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5A0E9E5B">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4980D67C">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2BD6CF84">
      <w:pPr>
        <w:rPr>
          <w:rFonts w:hint="eastAsia"/>
          <w:color w:val="000000" w:themeColor="text1"/>
          <w:highlight w:val="none"/>
          <w14:textFill>
            <w14:solidFill>
              <w14:schemeClr w14:val="tx1"/>
            </w14:solidFill>
          </w14:textFill>
        </w:rPr>
      </w:pPr>
    </w:p>
    <w:p w14:paraId="7F2279E3">
      <w:pPr>
        <w:rPr>
          <w:color w:val="000000" w:themeColor="text1"/>
          <w:highlight w:val="none"/>
          <w14:textFill>
            <w14:solidFill>
              <w14:schemeClr w14:val="tx1"/>
            </w14:solidFill>
          </w14:textFill>
        </w:rPr>
      </w:pPr>
    </w:p>
    <w:sectPr>
      <w:footerReference r:id="rId12" w:type="first"/>
      <w:headerReference r:id="rId10" w:type="default"/>
      <w:footerReference r:id="rId11" w:type="default"/>
      <w:pgSz w:w="11906" w:h="16838"/>
      <w:pgMar w:top="1361" w:right="1497" w:bottom="1361" w:left="1497" w:header="850" w:footer="992" w:gutter="0"/>
      <w:pgNumType w:fmt="decimal"/>
      <w:cols w:space="0" w:num="1"/>
      <w:titlePg/>
      <w:rtlGutter w:val="0"/>
      <w:docGrid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Emoji">
    <w:panose1 w:val="020B0502040204020203"/>
    <w:charset w:val="00"/>
    <w:family w:val="swiss"/>
    <w:pitch w:val="default"/>
    <w:sig w:usb0="00000001" w:usb1="02000000" w:usb2="00000000" w:usb3="00000000" w:csb0="00000001" w:csb1="00000000"/>
  </w:font>
  <w:font w:name="Wingdings 2">
    <w:altName w:val="Wingdings"/>
    <w:panose1 w:val="05020102010507070707"/>
    <w:charset w:val="02"/>
    <w:family w:val="auto"/>
    <w:pitch w:val="default"/>
    <w:sig w:usb0="00000000" w:usb1="00000000" w:usb2="00000000" w:usb3="00000000" w:csb0="80000000" w:csb1="00000000"/>
  </w:font>
  <w:font w:name="华文中宋">
    <w:altName w:val="宋体"/>
    <w:panose1 w:val="02010600040101010101"/>
    <w:charset w:val="86"/>
    <w:family w:val="auto"/>
    <w:pitch w:val="default"/>
    <w:sig w:usb0="00000000" w:usb1="00000000" w:usb2="00000000" w:usb3="00000000" w:csb0="0004009F" w:csb1="DFD7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1F544">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3A27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38AA62">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38AA62">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C24B4">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C6A135">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6C6A135">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76F1B">
    <w:pPr>
      <w:pStyle w:val="11"/>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DF1EAC">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8DF1EAC">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FD35D">
    <w:pPr>
      <w:jc w:val="cente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38872F">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6D38872F">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DA2F7">
    <w:pPr>
      <w:pStyle w:val="8"/>
      <w:spacing w:line="206" w:lineRule="auto"/>
      <w:ind w:left="8273"/>
      <w:rPr>
        <w:sz w:val="16"/>
        <w:szCs w:val="16"/>
      </w:rPr>
    </w:pPr>
    <w:r>
      <w:rPr>
        <w:sz w:val="16"/>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FE144C">
                          <w:pPr>
                            <w:pStyle w:val="11"/>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6FE144C">
                    <w:pPr>
                      <w:pStyle w:val="11"/>
                    </w:pPr>
                    <w:r>
                      <w:fldChar w:fldCharType="begin"/>
                    </w:r>
                    <w:r>
                      <w:instrText xml:space="preserve"> PAGE  \* MERGEFORMAT </w:instrText>
                    </w:r>
                    <w:r>
                      <w:fldChar w:fldCharType="separate"/>
                    </w:r>
                    <w:r>
                      <w:t>53</w:t>
                    </w:r>
                    <w:r>
                      <w:fldChar w:fldCharType="end"/>
                    </w:r>
                  </w:p>
                </w:txbxContent>
              </v:textbox>
            </v:shape>
          </w:pict>
        </mc:Fallback>
      </mc:AlternateContent>
    </w:r>
    <w:r>
      <w:rPr>
        <w:b/>
        <w:bCs/>
        <w:sz w:val="16"/>
        <w:szCs w:val="16"/>
      </w:rPr>
      <w:t>【金石工程计价软件V5.42】</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FDB74">
    <w:pPr>
      <w:pStyle w:val="8"/>
      <w:spacing w:line="206" w:lineRule="auto"/>
      <w:ind w:left="8290"/>
      <w:rPr>
        <w:sz w:val="16"/>
        <w:szCs w:val="16"/>
      </w:rPr>
    </w:pPr>
    <w:r>
      <w:rPr>
        <w:sz w:val="16"/>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B0C5DD">
                          <w:pPr>
                            <w:pStyle w:val="11"/>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7B0C5DD">
                    <w:pPr>
                      <w:pStyle w:val="11"/>
                    </w:pPr>
                    <w:r>
                      <w:fldChar w:fldCharType="begin"/>
                    </w:r>
                    <w:r>
                      <w:instrText xml:space="preserve"> PAGE  \* MERGEFORMAT </w:instrText>
                    </w:r>
                    <w:r>
                      <w:fldChar w:fldCharType="separate"/>
                    </w:r>
                    <w:r>
                      <w:t>54</w:t>
                    </w:r>
                    <w:r>
                      <w:fldChar w:fldCharType="end"/>
                    </w:r>
                  </w:p>
                </w:txbxContent>
              </v:textbox>
            </v:shape>
          </w:pict>
        </mc:Fallback>
      </mc:AlternateContent>
    </w:r>
    <w:r>
      <w:rPr>
        <w:b/>
        <w:bCs/>
        <w:sz w:val="16"/>
        <w:szCs w:val="16"/>
      </w:rPr>
      <w:t>【金石工程计价软件V5.42】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07E31">
    <w:pPr>
      <w:pStyle w:val="11"/>
      <w:ind w:right="360"/>
      <w:rPr>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20171E">
                          <w:pPr>
                            <w:pStyle w:val="11"/>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F20171E">
                    <w:pPr>
                      <w:pStyle w:val="11"/>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6AFFB">
    <w:pPr>
      <w:pStyle w:val="11"/>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7BC1E3">
                          <w:pPr>
                            <w:pStyle w:val="11"/>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77BC1E3">
                    <w:pPr>
                      <w:pStyle w:val="11"/>
                    </w:pPr>
                    <w:r>
                      <w:fldChar w:fldCharType="begin"/>
                    </w:r>
                    <w:r>
                      <w:instrText xml:space="preserve"> PAGE  \* MERGEFORMAT </w:instrText>
                    </w:r>
                    <w:r>
                      <w:fldChar w:fldCharType="separate"/>
                    </w:r>
                    <w:r>
                      <w:t>55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BEC45">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E7FF6"/>
    <w:multiLevelType w:val="singleLevel"/>
    <w:tmpl w:val="A68E7FF6"/>
    <w:lvl w:ilvl="0" w:tentative="0">
      <w:start w:val="2"/>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kN2ZjN2FlZTg3OWMxODhlNzNiYzZkNDVhMjY3NTIifQ=="/>
  </w:docVars>
  <w:rsids>
    <w:rsidRoot w:val="00000000"/>
    <w:rsid w:val="001F1458"/>
    <w:rsid w:val="002C01D3"/>
    <w:rsid w:val="003D6656"/>
    <w:rsid w:val="003F5F2A"/>
    <w:rsid w:val="00416146"/>
    <w:rsid w:val="00577718"/>
    <w:rsid w:val="0078768E"/>
    <w:rsid w:val="00AD558A"/>
    <w:rsid w:val="00F1191B"/>
    <w:rsid w:val="00FB4547"/>
    <w:rsid w:val="010F1564"/>
    <w:rsid w:val="012D2227"/>
    <w:rsid w:val="013637D1"/>
    <w:rsid w:val="016823AF"/>
    <w:rsid w:val="01AF5332"/>
    <w:rsid w:val="01C40DDD"/>
    <w:rsid w:val="01E4322D"/>
    <w:rsid w:val="01FD42EF"/>
    <w:rsid w:val="02005154"/>
    <w:rsid w:val="02181129"/>
    <w:rsid w:val="02A429BD"/>
    <w:rsid w:val="02C1356F"/>
    <w:rsid w:val="02C71B42"/>
    <w:rsid w:val="02CB1CF7"/>
    <w:rsid w:val="02D850FD"/>
    <w:rsid w:val="02FC45A7"/>
    <w:rsid w:val="03305436"/>
    <w:rsid w:val="03CC21CB"/>
    <w:rsid w:val="041A505D"/>
    <w:rsid w:val="04446205"/>
    <w:rsid w:val="045A77D7"/>
    <w:rsid w:val="047F0FEB"/>
    <w:rsid w:val="04A86794"/>
    <w:rsid w:val="04E672BC"/>
    <w:rsid w:val="04F419D9"/>
    <w:rsid w:val="04FF037E"/>
    <w:rsid w:val="05057914"/>
    <w:rsid w:val="050F6813"/>
    <w:rsid w:val="057743B8"/>
    <w:rsid w:val="058A40EC"/>
    <w:rsid w:val="05BE1FE7"/>
    <w:rsid w:val="05D830A9"/>
    <w:rsid w:val="05DC1FD5"/>
    <w:rsid w:val="066E57BB"/>
    <w:rsid w:val="06F6028C"/>
    <w:rsid w:val="06FC2DC7"/>
    <w:rsid w:val="07027CB2"/>
    <w:rsid w:val="07217A79"/>
    <w:rsid w:val="073267E9"/>
    <w:rsid w:val="075449B1"/>
    <w:rsid w:val="076646E5"/>
    <w:rsid w:val="07852DBD"/>
    <w:rsid w:val="078E4957"/>
    <w:rsid w:val="07950B26"/>
    <w:rsid w:val="07CE2A6D"/>
    <w:rsid w:val="085B1D6F"/>
    <w:rsid w:val="08766BA9"/>
    <w:rsid w:val="08AD13DA"/>
    <w:rsid w:val="08E41D65"/>
    <w:rsid w:val="08E6788B"/>
    <w:rsid w:val="08EC260A"/>
    <w:rsid w:val="090D12BC"/>
    <w:rsid w:val="09246605"/>
    <w:rsid w:val="09330E06"/>
    <w:rsid w:val="09726E4B"/>
    <w:rsid w:val="097965C8"/>
    <w:rsid w:val="09B64076"/>
    <w:rsid w:val="09CD0A4B"/>
    <w:rsid w:val="0A205206"/>
    <w:rsid w:val="0A544CC8"/>
    <w:rsid w:val="0AC97464"/>
    <w:rsid w:val="0B0941CB"/>
    <w:rsid w:val="0B54368F"/>
    <w:rsid w:val="0B633415"/>
    <w:rsid w:val="0B664CB3"/>
    <w:rsid w:val="0BA457DB"/>
    <w:rsid w:val="0C5E1E2E"/>
    <w:rsid w:val="0C6A432F"/>
    <w:rsid w:val="0C8C699B"/>
    <w:rsid w:val="0CB90E20"/>
    <w:rsid w:val="0CE13D8F"/>
    <w:rsid w:val="0D091D9A"/>
    <w:rsid w:val="0D136775"/>
    <w:rsid w:val="0D162709"/>
    <w:rsid w:val="0D331A72"/>
    <w:rsid w:val="0D404FEF"/>
    <w:rsid w:val="0D576FA9"/>
    <w:rsid w:val="0D815DD4"/>
    <w:rsid w:val="0DA63A8D"/>
    <w:rsid w:val="0E752B05"/>
    <w:rsid w:val="0E83792A"/>
    <w:rsid w:val="0E9B2EC6"/>
    <w:rsid w:val="0E9D1B60"/>
    <w:rsid w:val="0EF80318"/>
    <w:rsid w:val="0F977B31"/>
    <w:rsid w:val="0FEF4877"/>
    <w:rsid w:val="100D1BA1"/>
    <w:rsid w:val="101F0E02"/>
    <w:rsid w:val="106519DD"/>
    <w:rsid w:val="110A4333"/>
    <w:rsid w:val="111451B1"/>
    <w:rsid w:val="11424266"/>
    <w:rsid w:val="11427343"/>
    <w:rsid w:val="11B1675D"/>
    <w:rsid w:val="11F33019"/>
    <w:rsid w:val="121511E1"/>
    <w:rsid w:val="129465AA"/>
    <w:rsid w:val="13141499"/>
    <w:rsid w:val="13203326"/>
    <w:rsid w:val="13354E3F"/>
    <w:rsid w:val="13593F46"/>
    <w:rsid w:val="13603B04"/>
    <w:rsid w:val="136801B9"/>
    <w:rsid w:val="13785584"/>
    <w:rsid w:val="140E7C96"/>
    <w:rsid w:val="14141A55"/>
    <w:rsid w:val="145558C5"/>
    <w:rsid w:val="147815B3"/>
    <w:rsid w:val="148F527B"/>
    <w:rsid w:val="14E05AD6"/>
    <w:rsid w:val="15035321"/>
    <w:rsid w:val="151237B6"/>
    <w:rsid w:val="15581B10"/>
    <w:rsid w:val="155C2C83"/>
    <w:rsid w:val="156657BE"/>
    <w:rsid w:val="156C55BC"/>
    <w:rsid w:val="15CA0281"/>
    <w:rsid w:val="15E433A4"/>
    <w:rsid w:val="16504596"/>
    <w:rsid w:val="16726C02"/>
    <w:rsid w:val="167F4E7B"/>
    <w:rsid w:val="168F2844"/>
    <w:rsid w:val="16FC471D"/>
    <w:rsid w:val="17017F86"/>
    <w:rsid w:val="17036ABF"/>
    <w:rsid w:val="1736733B"/>
    <w:rsid w:val="174560C4"/>
    <w:rsid w:val="17793FC0"/>
    <w:rsid w:val="17936E30"/>
    <w:rsid w:val="17FB49D5"/>
    <w:rsid w:val="17FD699F"/>
    <w:rsid w:val="18221F62"/>
    <w:rsid w:val="184470B2"/>
    <w:rsid w:val="185A5BA0"/>
    <w:rsid w:val="18C15C1F"/>
    <w:rsid w:val="18D25736"/>
    <w:rsid w:val="191F46F3"/>
    <w:rsid w:val="193F5F3A"/>
    <w:rsid w:val="19831BB1"/>
    <w:rsid w:val="199D21E8"/>
    <w:rsid w:val="19E716B5"/>
    <w:rsid w:val="1ABF08C1"/>
    <w:rsid w:val="1AE10204"/>
    <w:rsid w:val="1AF000F5"/>
    <w:rsid w:val="1B1464DA"/>
    <w:rsid w:val="1B481CDF"/>
    <w:rsid w:val="1B8F3DB2"/>
    <w:rsid w:val="1B9E2247"/>
    <w:rsid w:val="1BB67591"/>
    <w:rsid w:val="1BD619E1"/>
    <w:rsid w:val="1BEB6903"/>
    <w:rsid w:val="1C165D25"/>
    <w:rsid w:val="1C7A6810"/>
    <w:rsid w:val="1C8E5E18"/>
    <w:rsid w:val="1CA4388D"/>
    <w:rsid w:val="1CD51026"/>
    <w:rsid w:val="1D14303A"/>
    <w:rsid w:val="1D384CFC"/>
    <w:rsid w:val="1D556936"/>
    <w:rsid w:val="1D5E1C8E"/>
    <w:rsid w:val="1D61352C"/>
    <w:rsid w:val="1D813BCE"/>
    <w:rsid w:val="1DDE4B7D"/>
    <w:rsid w:val="1E2F362A"/>
    <w:rsid w:val="1E672DC4"/>
    <w:rsid w:val="1EA336D1"/>
    <w:rsid w:val="1F152820"/>
    <w:rsid w:val="200A49A4"/>
    <w:rsid w:val="208714FC"/>
    <w:rsid w:val="209D2ACD"/>
    <w:rsid w:val="20A16B48"/>
    <w:rsid w:val="20BE47F2"/>
    <w:rsid w:val="20C07489"/>
    <w:rsid w:val="20C21FFD"/>
    <w:rsid w:val="20EF1371"/>
    <w:rsid w:val="217001E2"/>
    <w:rsid w:val="217D4722"/>
    <w:rsid w:val="21A36346"/>
    <w:rsid w:val="21B722FE"/>
    <w:rsid w:val="22581183"/>
    <w:rsid w:val="225C2853"/>
    <w:rsid w:val="23615817"/>
    <w:rsid w:val="23627FFE"/>
    <w:rsid w:val="24482D50"/>
    <w:rsid w:val="246851A0"/>
    <w:rsid w:val="24BA70E1"/>
    <w:rsid w:val="24C90335"/>
    <w:rsid w:val="24FB1376"/>
    <w:rsid w:val="25302162"/>
    <w:rsid w:val="25565941"/>
    <w:rsid w:val="257F2D58"/>
    <w:rsid w:val="25A03B74"/>
    <w:rsid w:val="25DA3E7C"/>
    <w:rsid w:val="26121868"/>
    <w:rsid w:val="261F21D6"/>
    <w:rsid w:val="26606A77"/>
    <w:rsid w:val="266E5E6A"/>
    <w:rsid w:val="26A76454"/>
    <w:rsid w:val="27084A19"/>
    <w:rsid w:val="27135C28"/>
    <w:rsid w:val="27383550"/>
    <w:rsid w:val="279B3ADF"/>
    <w:rsid w:val="27AB1F74"/>
    <w:rsid w:val="27B5694E"/>
    <w:rsid w:val="27CE17BE"/>
    <w:rsid w:val="28137B19"/>
    <w:rsid w:val="283C2BCC"/>
    <w:rsid w:val="287C746C"/>
    <w:rsid w:val="289E73E3"/>
    <w:rsid w:val="28D76D98"/>
    <w:rsid w:val="290F6532"/>
    <w:rsid w:val="29270955"/>
    <w:rsid w:val="296A19BB"/>
    <w:rsid w:val="29BF1D06"/>
    <w:rsid w:val="29E94127"/>
    <w:rsid w:val="2AC82E3D"/>
    <w:rsid w:val="2B157704"/>
    <w:rsid w:val="2BBD0F0F"/>
    <w:rsid w:val="2C3C763E"/>
    <w:rsid w:val="2C5801F0"/>
    <w:rsid w:val="2CC633AC"/>
    <w:rsid w:val="2CC919E7"/>
    <w:rsid w:val="2CEA363E"/>
    <w:rsid w:val="2CF33A75"/>
    <w:rsid w:val="2D0D4B37"/>
    <w:rsid w:val="2D1660E1"/>
    <w:rsid w:val="2D6C5D01"/>
    <w:rsid w:val="2D8964F0"/>
    <w:rsid w:val="2D9139BA"/>
    <w:rsid w:val="2DD65871"/>
    <w:rsid w:val="2DFD2DFD"/>
    <w:rsid w:val="2E1819E5"/>
    <w:rsid w:val="2E3A5DFF"/>
    <w:rsid w:val="2E3E08AA"/>
    <w:rsid w:val="2E3E1322"/>
    <w:rsid w:val="2E5C5223"/>
    <w:rsid w:val="2EF53AD4"/>
    <w:rsid w:val="2EF73CF0"/>
    <w:rsid w:val="2F104DB2"/>
    <w:rsid w:val="2F14027F"/>
    <w:rsid w:val="2F4B5DEA"/>
    <w:rsid w:val="2F642A08"/>
    <w:rsid w:val="2F782EE2"/>
    <w:rsid w:val="2FF63FA8"/>
    <w:rsid w:val="30071D11"/>
    <w:rsid w:val="300E12F2"/>
    <w:rsid w:val="303845C1"/>
    <w:rsid w:val="308926FF"/>
    <w:rsid w:val="309061AB"/>
    <w:rsid w:val="30AB4D93"/>
    <w:rsid w:val="312406A1"/>
    <w:rsid w:val="312959E9"/>
    <w:rsid w:val="3140197F"/>
    <w:rsid w:val="31452861"/>
    <w:rsid w:val="315E0057"/>
    <w:rsid w:val="31653193"/>
    <w:rsid w:val="316B42FE"/>
    <w:rsid w:val="317E24A7"/>
    <w:rsid w:val="318A0E4C"/>
    <w:rsid w:val="31944BAA"/>
    <w:rsid w:val="31A35A6A"/>
    <w:rsid w:val="31A73838"/>
    <w:rsid w:val="31E859EF"/>
    <w:rsid w:val="324832D5"/>
    <w:rsid w:val="32495C16"/>
    <w:rsid w:val="32607DFF"/>
    <w:rsid w:val="32D00899"/>
    <w:rsid w:val="32F80037"/>
    <w:rsid w:val="32FF4F22"/>
    <w:rsid w:val="33857B1D"/>
    <w:rsid w:val="33C10429"/>
    <w:rsid w:val="33DA14EB"/>
    <w:rsid w:val="33DB3207"/>
    <w:rsid w:val="33FC015A"/>
    <w:rsid w:val="340A3924"/>
    <w:rsid w:val="345E3ECA"/>
    <w:rsid w:val="351570C4"/>
    <w:rsid w:val="354632DC"/>
    <w:rsid w:val="3548328C"/>
    <w:rsid w:val="354C01C6"/>
    <w:rsid w:val="357118EC"/>
    <w:rsid w:val="359E4EC6"/>
    <w:rsid w:val="35CB1A33"/>
    <w:rsid w:val="35EB79DF"/>
    <w:rsid w:val="369462C9"/>
    <w:rsid w:val="36CC46F5"/>
    <w:rsid w:val="36E004F3"/>
    <w:rsid w:val="36E36908"/>
    <w:rsid w:val="37553F15"/>
    <w:rsid w:val="37561278"/>
    <w:rsid w:val="375A12C0"/>
    <w:rsid w:val="37893954"/>
    <w:rsid w:val="37F60FE9"/>
    <w:rsid w:val="37F7266B"/>
    <w:rsid w:val="38080D1C"/>
    <w:rsid w:val="381C47C8"/>
    <w:rsid w:val="38855EC9"/>
    <w:rsid w:val="388F55FC"/>
    <w:rsid w:val="38CF165D"/>
    <w:rsid w:val="390239BE"/>
    <w:rsid w:val="390F53DD"/>
    <w:rsid w:val="398D772B"/>
    <w:rsid w:val="3A1A6AE5"/>
    <w:rsid w:val="3A563FC1"/>
    <w:rsid w:val="3A7B3A28"/>
    <w:rsid w:val="3A9B5E78"/>
    <w:rsid w:val="3B424545"/>
    <w:rsid w:val="3BC6411F"/>
    <w:rsid w:val="3BD41BB4"/>
    <w:rsid w:val="3BD66A3C"/>
    <w:rsid w:val="3C2970C0"/>
    <w:rsid w:val="3C2D6FA3"/>
    <w:rsid w:val="3C906EB5"/>
    <w:rsid w:val="3C917532"/>
    <w:rsid w:val="3CE138EA"/>
    <w:rsid w:val="3CE77152"/>
    <w:rsid w:val="3D246014"/>
    <w:rsid w:val="3D4170B3"/>
    <w:rsid w:val="3D510A70"/>
    <w:rsid w:val="3D7F382F"/>
    <w:rsid w:val="3E083824"/>
    <w:rsid w:val="3EAF3CA0"/>
    <w:rsid w:val="3EE9778C"/>
    <w:rsid w:val="3F0B4C4E"/>
    <w:rsid w:val="3F5E1222"/>
    <w:rsid w:val="3F632CDC"/>
    <w:rsid w:val="3F6727CC"/>
    <w:rsid w:val="3F770DA1"/>
    <w:rsid w:val="3FB40ADB"/>
    <w:rsid w:val="40493C80"/>
    <w:rsid w:val="40893130"/>
    <w:rsid w:val="40A37834"/>
    <w:rsid w:val="414D63E8"/>
    <w:rsid w:val="41E77BF5"/>
    <w:rsid w:val="41EB2BD3"/>
    <w:rsid w:val="42091919"/>
    <w:rsid w:val="420E33D3"/>
    <w:rsid w:val="42AC04F6"/>
    <w:rsid w:val="42CD6DEA"/>
    <w:rsid w:val="42FE5622"/>
    <w:rsid w:val="431E7646"/>
    <w:rsid w:val="432F1853"/>
    <w:rsid w:val="434B5F61"/>
    <w:rsid w:val="43AE2C24"/>
    <w:rsid w:val="444847EB"/>
    <w:rsid w:val="445F7F16"/>
    <w:rsid w:val="44892E49"/>
    <w:rsid w:val="449851D6"/>
    <w:rsid w:val="44A2378F"/>
    <w:rsid w:val="45057A04"/>
    <w:rsid w:val="456F0C12"/>
    <w:rsid w:val="45A80DAF"/>
    <w:rsid w:val="45BC5FF0"/>
    <w:rsid w:val="45D245B5"/>
    <w:rsid w:val="460B7E8C"/>
    <w:rsid w:val="462036D5"/>
    <w:rsid w:val="462F1B6A"/>
    <w:rsid w:val="463827CD"/>
    <w:rsid w:val="466731A2"/>
    <w:rsid w:val="46A00372"/>
    <w:rsid w:val="46A75BA4"/>
    <w:rsid w:val="46AE6F33"/>
    <w:rsid w:val="46C06264"/>
    <w:rsid w:val="46E5454E"/>
    <w:rsid w:val="470A3548"/>
    <w:rsid w:val="471029C1"/>
    <w:rsid w:val="471E7C15"/>
    <w:rsid w:val="479C322F"/>
    <w:rsid w:val="47A06BA7"/>
    <w:rsid w:val="47A10846"/>
    <w:rsid w:val="47E0136E"/>
    <w:rsid w:val="47FB1D04"/>
    <w:rsid w:val="480908C5"/>
    <w:rsid w:val="48396CD0"/>
    <w:rsid w:val="4847510B"/>
    <w:rsid w:val="488E4815"/>
    <w:rsid w:val="48FA645F"/>
    <w:rsid w:val="490270C2"/>
    <w:rsid w:val="49153299"/>
    <w:rsid w:val="49247038"/>
    <w:rsid w:val="49543DC1"/>
    <w:rsid w:val="49A5461D"/>
    <w:rsid w:val="49D30EA1"/>
    <w:rsid w:val="49E73152"/>
    <w:rsid w:val="49FC5C1D"/>
    <w:rsid w:val="4A143551"/>
    <w:rsid w:val="4A2B43F6"/>
    <w:rsid w:val="4AAF6DD6"/>
    <w:rsid w:val="4AB80380"/>
    <w:rsid w:val="4AC05487"/>
    <w:rsid w:val="4BB02E05"/>
    <w:rsid w:val="4BB328F5"/>
    <w:rsid w:val="4BFD4B91"/>
    <w:rsid w:val="4C43011D"/>
    <w:rsid w:val="4C43303F"/>
    <w:rsid w:val="4C4C4197"/>
    <w:rsid w:val="4C8524E4"/>
    <w:rsid w:val="4D16138E"/>
    <w:rsid w:val="4D665E71"/>
    <w:rsid w:val="4D896004"/>
    <w:rsid w:val="4DD80599"/>
    <w:rsid w:val="4DE17BEE"/>
    <w:rsid w:val="4DF22036"/>
    <w:rsid w:val="4E08517B"/>
    <w:rsid w:val="4E165AE9"/>
    <w:rsid w:val="4E3F4EAF"/>
    <w:rsid w:val="4E854A1D"/>
    <w:rsid w:val="4ECA0682"/>
    <w:rsid w:val="4F0370B0"/>
    <w:rsid w:val="4F3323EE"/>
    <w:rsid w:val="4F477F24"/>
    <w:rsid w:val="4F560168"/>
    <w:rsid w:val="4F8D12D9"/>
    <w:rsid w:val="4FC357FD"/>
    <w:rsid w:val="502618E8"/>
    <w:rsid w:val="50946A52"/>
    <w:rsid w:val="50F419E6"/>
    <w:rsid w:val="51183927"/>
    <w:rsid w:val="512E314A"/>
    <w:rsid w:val="515626A1"/>
    <w:rsid w:val="516E79EA"/>
    <w:rsid w:val="51B15B29"/>
    <w:rsid w:val="520420FD"/>
    <w:rsid w:val="52081BED"/>
    <w:rsid w:val="52100AA2"/>
    <w:rsid w:val="52195BA8"/>
    <w:rsid w:val="522A0329"/>
    <w:rsid w:val="525C5A95"/>
    <w:rsid w:val="526A6404"/>
    <w:rsid w:val="5288688A"/>
    <w:rsid w:val="52A15B9E"/>
    <w:rsid w:val="52B14033"/>
    <w:rsid w:val="52EF4B5B"/>
    <w:rsid w:val="534529CD"/>
    <w:rsid w:val="53582700"/>
    <w:rsid w:val="53642E53"/>
    <w:rsid w:val="53DC50DF"/>
    <w:rsid w:val="54007866"/>
    <w:rsid w:val="54352A41"/>
    <w:rsid w:val="547277F2"/>
    <w:rsid w:val="54BE2A37"/>
    <w:rsid w:val="54CB0CB0"/>
    <w:rsid w:val="54CF254E"/>
    <w:rsid w:val="550377DB"/>
    <w:rsid w:val="55436361"/>
    <w:rsid w:val="557B0928"/>
    <w:rsid w:val="55A75279"/>
    <w:rsid w:val="55C67DF5"/>
    <w:rsid w:val="55E55DA1"/>
    <w:rsid w:val="560E7CB4"/>
    <w:rsid w:val="562D0DA1"/>
    <w:rsid w:val="56694C24"/>
    <w:rsid w:val="567D6B73"/>
    <w:rsid w:val="569D6B5A"/>
    <w:rsid w:val="56CE7A99"/>
    <w:rsid w:val="56D17AE6"/>
    <w:rsid w:val="56DA342C"/>
    <w:rsid w:val="57E00F16"/>
    <w:rsid w:val="57F4051E"/>
    <w:rsid w:val="5881427B"/>
    <w:rsid w:val="588E0972"/>
    <w:rsid w:val="58975A79"/>
    <w:rsid w:val="589D3C92"/>
    <w:rsid w:val="58A3441E"/>
    <w:rsid w:val="58AD0DF8"/>
    <w:rsid w:val="58B77EC9"/>
    <w:rsid w:val="58D740C7"/>
    <w:rsid w:val="590429E2"/>
    <w:rsid w:val="590A0E88"/>
    <w:rsid w:val="592941F7"/>
    <w:rsid w:val="59740C68"/>
    <w:rsid w:val="59AF6DF2"/>
    <w:rsid w:val="59B63CDD"/>
    <w:rsid w:val="59B937CD"/>
    <w:rsid w:val="59EF71EF"/>
    <w:rsid w:val="59F667CF"/>
    <w:rsid w:val="5A1B4488"/>
    <w:rsid w:val="5A533C21"/>
    <w:rsid w:val="5A8C2C8F"/>
    <w:rsid w:val="5A9160D0"/>
    <w:rsid w:val="5AAD30FF"/>
    <w:rsid w:val="5AAE70AA"/>
    <w:rsid w:val="5AC964A6"/>
    <w:rsid w:val="5AD3266C"/>
    <w:rsid w:val="5AE27CEB"/>
    <w:rsid w:val="5B072B5F"/>
    <w:rsid w:val="5B351579"/>
    <w:rsid w:val="5B4812AC"/>
    <w:rsid w:val="5BE07737"/>
    <w:rsid w:val="5BF1724E"/>
    <w:rsid w:val="5C1C1BA0"/>
    <w:rsid w:val="5C515F3F"/>
    <w:rsid w:val="5C7B745F"/>
    <w:rsid w:val="5C8207EE"/>
    <w:rsid w:val="5C95407D"/>
    <w:rsid w:val="5CA16EC6"/>
    <w:rsid w:val="5CE13766"/>
    <w:rsid w:val="5D131446"/>
    <w:rsid w:val="5D333E91"/>
    <w:rsid w:val="5D360C6B"/>
    <w:rsid w:val="5DC42740"/>
    <w:rsid w:val="5DF748C4"/>
    <w:rsid w:val="5E5B2FBB"/>
    <w:rsid w:val="5E6A153A"/>
    <w:rsid w:val="5E710B1A"/>
    <w:rsid w:val="5EB915BA"/>
    <w:rsid w:val="5EBB7FE7"/>
    <w:rsid w:val="5ED35331"/>
    <w:rsid w:val="5F096FA4"/>
    <w:rsid w:val="5F1C7B6C"/>
    <w:rsid w:val="6018777C"/>
    <w:rsid w:val="60457B68"/>
    <w:rsid w:val="608A5EC3"/>
    <w:rsid w:val="60A2320D"/>
    <w:rsid w:val="60DC49D8"/>
    <w:rsid w:val="610E08A2"/>
    <w:rsid w:val="610E43FE"/>
    <w:rsid w:val="61897F29"/>
    <w:rsid w:val="61D5316E"/>
    <w:rsid w:val="61DF188E"/>
    <w:rsid w:val="61F73B8C"/>
    <w:rsid w:val="620121B5"/>
    <w:rsid w:val="6205712B"/>
    <w:rsid w:val="62482C6F"/>
    <w:rsid w:val="627209BD"/>
    <w:rsid w:val="627B3D15"/>
    <w:rsid w:val="62A768B8"/>
    <w:rsid w:val="62CA41D0"/>
    <w:rsid w:val="62D12479"/>
    <w:rsid w:val="62E0626E"/>
    <w:rsid w:val="63387E58"/>
    <w:rsid w:val="63620A31"/>
    <w:rsid w:val="63936E3D"/>
    <w:rsid w:val="63AE1EC8"/>
    <w:rsid w:val="63B03E93"/>
    <w:rsid w:val="63C4349A"/>
    <w:rsid w:val="63CD67F3"/>
    <w:rsid w:val="64BB5496"/>
    <w:rsid w:val="64ED07CF"/>
    <w:rsid w:val="64F34037"/>
    <w:rsid w:val="6502071E"/>
    <w:rsid w:val="652A1008"/>
    <w:rsid w:val="653C0D91"/>
    <w:rsid w:val="657D5FF6"/>
    <w:rsid w:val="66486604"/>
    <w:rsid w:val="6660394E"/>
    <w:rsid w:val="66650F64"/>
    <w:rsid w:val="66886F6B"/>
    <w:rsid w:val="669058B5"/>
    <w:rsid w:val="669E4476"/>
    <w:rsid w:val="66A355E9"/>
    <w:rsid w:val="66B912B0"/>
    <w:rsid w:val="66EC3434"/>
    <w:rsid w:val="67346733"/>
    <w:rsid w:val="6790723B"/>
    <w:rsid w:val="67A0618E"/>
    <w:rsid w:val="67AD54A4"/>
    <w:rsid w:val="67C1666E"/>
    <w:rsid w:val="684A6664"/>
    <w:rsid w:val="684F1A6C"/>
    <w:rsid w:val="685C6397"/>
    <w:rsid w:val="686A0AB4"/>
    <w:rsid w:val="689618A9"/>
    <w:rsid w:val="68AD6BF3"/>
    <w:rsid w:val="690031C6"/>
    <w:rsid w:val="69194288"/>
    <w:rsid w:val="695B21AB"/>
    <w:rsid w:val="696C085C"/>
    <w:rsid w:val="69715E72"/>
    <w:rsid w:val="69787200"/>
    <w:rsid w:val="699D27C3"/>
    <w:rsid w:val="69B67D29"/>
    <w:rsid w:val="69D34437"/>
    <w:rsid w:val="69F10D61"/>
    <w:rsid w:val="6A2829D5"/>
    <w:rsid w:val="6A303637"/>
    <w:rsid w:val="6A386990"/>
    <w:rsid w:val="6B0F5943"/>
    <w:rsid w:val="6B3929BF"/>
    <w:rsid w:val="6B735ED1"/>
    <w:rsid w:val="6B851761"/>
    <w:rsid w:val="6C232D57"/>
    <w:rsid w:val="6C303DC2"/>
    <w:rsid w:val="6C496C32"/>
    <w:rsid w:val="6C75046D"/>
    <w:rsid w:val="6C861C34"/>
    <w:rsid w:val="6CA65E33"/>
    <w:rsid w:val="6CE67F73"/>
    <w:rsid w:val="6CE8644B"/>
    <w:rsid w:val="6CF50B68"/>
    <w:rsid w:val="6D4573FA"/>
    <w:rsid w:val="6D470AC9"/>
    <w:rsid w:val="6D513FF0"/>
    <w:rsid w:val="6DD10C8D"/>
    <w:rsid w:val="6DD54C21"/>
    <w:rsid w:val="6E0A23F1"/>
    <w:rsid w:val="6E1F40EF"/>
    <w:rsid w:val="6E313E22"/>
    <w:rsid w:val="6E55366C"/>
    <w:rsid w:val="6E5D69C5"/>
    <w:rsid w:val="6EDA6267"/>
    <w:rsid w:val="6F2B4B35"/>
    <w:rsid w:val="6F343BCA"/>
    <w:rsid w:val="6F40431D"/>
    <w:rsid w:val="6F4D4C8B"/>
    <w:rsid w:val="6F614293"/>
    <w:rsid w:val="6FE4739E"/>
    <w:rsid w:val="6FF45CB7"/>
    <w:rsid w:val="702746E5"/>
    <w:rsid w:val="705067E1"/>
    <w:rsid w:val="70732B6A"/>
    <w:rsid w:val="70765B1C"/>
    <w:rsid w:val="708244C1"/>
    <w:rsid w:val="708F6BDE"/>
    <w:rsid w:val="70B22147"/>
    <w:rsid w:val="70FF1FB5"/>
    <w:rsid w:val="712612F0"/>
    <w:rsid w:val="71753F94"/>
    <w:rsid w:val="717E6854"/>
    <w:rsid w:val="7185070D"/>
    <w:rsid w:val="71AF5789"/>
    <w:rsid w:val="71CC633B"/>
    <w:rsid w:val="72402885"/>
    <w:rsid w:val="727367B7"/>
    <w:rsid w:val="727F33AE"/>
    <w:rsid w:val="734D1295"/>
    <w:rsid w:val="739F6A16"/>
    <w:rsid w:val="73A56E44"/>
    <w:rsid w:val="73CE5982"/>
    <w:rsid w:val="7416564C"/>
    <w:rsid w:val="744523D5"/>
    <w:rsid w:val="74CE5F27"/>
    <w:rsid w:val="74F5006C"/>
    <w:rsid w:val="74F51705"/>
    <w:rsid w:val="74F55BA9"/>
    <w:rsid w:val="751555FD"/>
    <w:rsid w:val="752124FA"/>
    <w:rsid w:val="75383CE8"/>
    <w:rsid w:val="753C37D8"/>
    <w:rsid w:val="755A5A0C"/>
    <w:rsid w:val="755C79D6"/>
    <w:rsid w:val="758B02BC"/>
    <w:rsid w:val="76124944"/>
    <w:rsid w:val="76320737"/>
    <w:rsid w:val="768D3BBF"/>
    <w:rsid w:val="769F401E"/>
    <w:rsid w:val="76A70496"/>
    <w:rsid w:val="76B15B00"/>
    <w:rsid w:val="76B34C0F"/>
    <w:rsid w:val="76BA0E58"/>
    <w:rsid w:val="76C770D1"/>
    <w:rsid w:val="76F679B7"/>
    <w:rsid w:val="775D0F49"/>
    <w:rsid w:val="777F5BFE"/>
    <w:rsid w:val="77862AF0"/>
    <w:rsid w:val="78160310"/>
    <w:rsid w:val="781E1AEC"/>
    <w:rsid w:val="782642CC"/>
    <w:rsid w:val="78D13B60"/>
    <w:rsid w:val="790C1713"/>
    <w:rsid w:val="790E41BF"/>
    <w:rsid w:val="792D398F"/>
    <w:rsid w:val="795A247F"/>
    <w:rsid w:val="799C2A97"/>
    <w:rsid w:val="79CD0EA3"/>
    <w:rsid w:val="7A396538"/>
    <w:rsid w:val="7A425194"/>
    <w:rsid w:val="7A932B25"/>
    <w:rsid w:val="7ADB7627"/>
    <w:rsid w:val="7AF67F85"/>
    <w:rsid w:val="7AFB1A3F"/>
    <w:rsid w:val="7B046B46"/>
    <w:rsid w:val="7B0E3521"/>
    <w:rsid w:val="7B6718DB"/>
    <w:rsid w:val="7B944376"/>
    <w:rsid w:val="7BBC3EC2"/>
    <w:rsid w:val="7BC462D5"/>
    <w:rsid w:val="7BD77DB7"/>
    <w:rsid w:val="7BFC15CB"/>
    <w:rsid w:val="7C482A62"/>
    <w:rsid w:val="7C6158D2"/>
    <w:rsid w:val="7C745605"/>
    <w:rsid w:val="7C991510"/>
    <w:rsid w:val="7D0A78AE"/>
    <w:rsid w:val="7D11554A"/>
    <w:rsid w:val="7D1F7C67"/>
    <w:rsid w:val="7D456FA2"/>
    <w:rsid w:val="7D475C11"/>
    <w:rsid w:val="7E2B43EA"/>
    <w:rsid w:val="7E492A7C"/>
    <w:rsid w:val="7E53749D"/>
    <w:rsid w:val="7E5F22E5"/>
    <w:rsid w:val="7E7878E9"/>
    <w:rsid w:val="7ED44A81"/>
    <w:rsid w:val="7EDB5E10"/>
    <w:rsid w:val="7F1E3F4E"/>
    <w:rsid w:val="7F3F1C35"/>
    <w:rsid w:val="7F4734A5"/>
    <w:rsid w:val="7F983D01"/>
    <w:rsid w:val="7FC307D4"/>
    <w:rsid w:val="7FDD7245"/>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line="578" w:lineRule="auto"/>
      <w:outlineLvl w:val="0"/>
    </w:pPr>
    <w:rPr>
      <w:b/>
      <w:bCs/>
      <w:kern w:val="44"/>
      <w:sz w:val="44"/>
      <w:szCs w:val="44"/>
    </w:rPr>
  </w:style>
  <w:style w:type="paragraph" w:styleId="3">
    <w:name w:val="heading 2"/>
    <w:basedOn w:val="1"/>
    <w:next w:val="1"/>
    <w:autoRedefine/>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5"/>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cs="Arial"/>
      <w:b/>
      <w:bCs/>
      <w:sz w:val="28"/>
      <w:szCs w:val="28"/>
    </w:rPr>
  </w:style>
  <w:style w:type="paragraph" w:styleId="7">
    <w:name w:val="heading 5"/>
    <w:basedOn w:val="1"/>
    <w:next w:val="5"/>
    <w:qFormat/>
    <w:uiPriority w:val="0"/>
    <w:pPr>
      <w:keepNext/>
      <w:autoSpaceDE w:val="0"/>
      <w:autoSpaceDN w:val="0"/>
      <w:adjustRightInd w:val="0"/>
      <w:outlineLvl w:val="4"/>
    </w:pPr>
    <w:rPr>
      <w:rFonts w:ascii="宋体"/>
      <w:color w:val="000000"/>
      <w:kern w:val="0"/>
      <w:sz w:val="28"/>
      <w:szCs w:val="28"/>
    </w:rPr>
  </w:style>
  <w:style w:type="character" w:default="1" w:styleId="18">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qFormat/>
    <w:uiPriority w:val="0"/>
    <w:pPr>
      <w:ind w:firstLine="420"/>
    </w:pPr>
  </w:style>
  <w:style w:type="paragraph" w:styleId="8">
    <w:name w:val="Body Text"/>
    <w:basedOn w:val="1"/>
    <w:autoRedefine/>
    <w:qFormat/>
    <w:uiPriority w:val="0"/>
    <w:pPr>
      <w:spacing w:after="120"/>
    </w:pPr>
  </w:style>
  <w:style w:type="paragraph" w:styleId="9">
    <w:name w:val="Plain Text"/>
    <w:basedOn w:val="1"/>
    <w:qFormat/>
    <w:uiPriority w:val="0"/>
    <w:rPr>
      <w:rFonts w:ascii="宋体" w:hAnsi="Courier New"/>
      <w:szCs w:val="21"/>
    </w:rPr>
  </w:style>
  <w:style w:type="paragraph" w:styleId="10">
    <w:name w:val="Body Text Indent 2"/>
    <w:basedOn w:val="1"/>
    <w:qFormat/>
    <w:uiPriority w:val="0"/>
    <w:pPr>
      <w:spacing w:after="120" w:line="480" w:lineRule="auto"/>
      <w:ind w:left="420" w:leftChars="200"/>
    </w:p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semiHidden/>
    <w:qFormat/>
    <w:uiPriority w:val="0"/>
    <w:pPr>
      <w:spacing w:before="120" w:after="120"/>
      <w:jc w:val="left"/>
    </w:pPr>
    <w:rPr>
      <w:b/>
      <w:bCs/>
      <w:caps/>
      <w:sz w:val="20"/>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w:basedOn w:val="1"/>
    <w:qFormat/>
    <w:uiPriority w:val="0"/>
    <w:pPr>
      <w:spacing w:line="360" w:lineRule="auto"/>
      <w:ind w:firstLine="200" w:firstLineChars="200"/>
    </w:pPr>
    <w:rPr>
      <w:rFonts w:ascii="仿宋_GB2312" w:eastAsia="仿宋_GB2312"/>
      <w:sz w:val="30"/>
      <w:szCs w:val="30"/>
    </w:rPr>
  </w:style>
  <w:style w:type="table" w:styleId="17">
    <w:name w:val="Table Grid"/>
    <w:basedOn w:val="1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autoRedefine/>
    <w:qFormat/>
    <w:uiPriority w:val="0"/>
  </w:style>
  <w:style w:type="character" w:styleId="20">
    <w:name w:val="Hyperlink"/>
    <w:basedOn w:val="18"/>
    <w:qFormat/>
    <w:uiPriority w:val="0"/>
    <w:rPr>
      <w:color w:val="0000FF"/>
      <w:u w:val="none"/>
    </w:rPr>
  </w:style>
  <w:style w:type="paragraph" w:customStyle="1" w:styleId="21">
    <w:name w:val="BodyText1I2"/>
    <w:basedOn w:val="22"/>
    <w:next w:val="1"/>
    <w:autoRedefine/>
    <w:qFormat/>
    <w:uiPriority w:val="0"/>
    <w:pPr>
      <w:spacing w:before="100" w:beforeAutospacing="1" w:after="120"/>
      <w:ind w:left="420" w:leftChars="200" w:firstLine="420" w:firstLineChars="200"/>
    </w:pPr>
    <w:rPr>
      <w:rFonts w:ascii="Calibri" w:hAnsi="Calibri" w:eastAsia="宋体" w:cs="Calibri"/>
      <w:szCs w:val="21"/>
    </w:rPr>
  </w:style>
  <w:style w:type="paragraph" w:customStyle="1" w:styleId="22">
    <w:name w:val="BodyTextIndent"/>
    <w:basedOn w:val="1"/>
    <w:autoRedefine/>
    <w:qFormat/>
    <w:uiPriority w:val="0"/>
    <w:pPr>
      <w:ind w:firstLine="420"/>
    </w:pPr>
    <w:rPr>
      <w:rFonts w:ascii="Times New Roman" w:hAnsi="Times New Roman" w:eastAsia="宋体" w:cs="Times New Roman"/>
      <w:kern w:val="0"/>
      <w:szCs w:val="21"/>
    </w:rPr>
  </w:style>
  <w:style w:type="paragraph" w:customStyle="1" w:styleId="23">
    <w:name w:val="p0"/>
    <w:basedOn w:val="1"/>
    <w:qFormat/>
    <w:uiPriority w:val="0"/>
    <w:pPr>
      <w:widowControl/>
      <w:spacing w:before="100" w:beforeAutospacing="1" w:after="100" w:afterAutospacing="1"/>
      <w:jc w:val="left"/>
    </w:pPr>
    <w:rPr>
      <w:rFonts w:ascii="宋体" w:hAnsi="宋体" w:eastAsia="宋体" w:cs="宋体"/>
      <w:kern w:val="0"/>
      <w:sz w:val="24"/>
      <w:szCs w:val="21"/>
    </w:rPr>
  </w:style>
  <w:style w:type="paragraph" w:customStyle="1" w:styleId="24">
    <w:name w:val="TOC 标题1"/>
    <w:unhideWhenUsed/>
    <w:qFormat/>
    <w:uiPriority w:val="0"/>
    <w:rPr>
      <w:rFonts w:ascii="Times New Roman" w:hAnsi="Times New Roman" w:eastAsia="宋体" w:cs="Times New Roman"/>
      <w:lang w:val="en-US" w:eastAsia="zh-CN" w:bidi="ar-SA"/>
    </w:rPr>
  </w:style>
  <w:style w:type="character" w:customStyle="1" w:styleId="25">
    <w:name w:val="NormalCharacter"/>
    <w:autoRedefine/>
    <w:semiHidden/>
    <w:qFormat/>
    <w:uiPriority w:val="0"/>
  </w:style>
  <w:style w:type="table" w:customStyle="1" w:styleId="26">
    <w:name w:val="Table Normal"/>
    <w:semiHidden/>
    <w:unhideWhenUsed/>
    <w:qFormat/>
    <w:uiPriority w:val="0"/>
    <w:tblPr>
      <w:tblCellMar>
        <w:top w:w="0" w:type="dxa"/>
        <w:left w:w="0" w:type="dxa"/>
        <w:bottom w:w="0" w:type="dxa"/>
        <w:right w:w="0" w:type="dxa"/>
      </w:tblCellMar>
    </w:tblPr>
  </w:style>
  <w:style w:type="paragraph" w:customStyle="1" w:styleId="2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header" Target="header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64</Pages>
  <Words>20698</Words>
  <Characters>21969</Characters>
  <Lines>0</Lines>
  <Paragraphs>0</Paragraphs>
  <TotalTime>35</TotalTime>
  <ScaleCrop>false</ScaleCrop>
  <LinksUpToDate>false</LinksUpToDate>
  <CharactersWithSpaces>22968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2022-03-15T10:13:00Z</dcterms:created>
  <dc:creator>Administrator</dc:creator>
  <cp:lastModifiedBy>WPS_1761553465</cp:lastModifiedBy>
  <cp:lastPrinted>2025-09-22T01:03:00Z</cp:lastPrinted>
  <dcterms:modified xsi:type="dcterms:W3CDTF">2026-05-13T09:03:11Z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E15162EDC2FA4E358509CB21E2A25A3D_13</vt:lpwstr>
  </property>
  <property fmtid="{D5CDD505-2E9C-101B-9397-08002B2CF9AE}" pid="4" name="KSOTemplateDocerSaveRecord">
    <vt:lpwstr>eyJoZGlkIjoiZjRkMjIyYjc3YzgzMjliZDA5MjM2MGM4NTNhMDEyMGUiLCJ1c2VySWQiOiIxNzY0MDMzODEwIn0=</vt:lpwstr>
  </property>
</Properties>
</file>