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B8D9F">
      <w:pPr>
        <w:jc w:val="both"/>
        <w:rPr>
          <w:rFonts w:hint="eastAsia" w:ascii="宋体" w:hAnsi="宋体" w:cs="宋体"/>
          <w:b/>
          <w:color w:val="auto"/>
          <w:kern w:val="0"/>
          <w:sz w:val="44"/>
          <w:szCs w:val="40"/>
          <w:lang w:eastAsia="zh-CN"/>
        </w:rPr>
      </w:pPr>
    </w:p>
    <w:p w14:paraId="3B765F1B">
      <w:pPr>
        <w:jc w:val="both"/>
        <w:rPr>
          <w:rFonts w:hint="eastAsia" w:ascii="宋体" w:hAnsi="宋体" w:cs="宋体"/>
          <w:b/>
          <w:color w:val="auto"/>
          <w:kern w:val="0"/>
          <w:sz w:val="44"/>
          <w:szCs w:val="40"/>
          <w:lang w:eastAsia="zh-CN"/>
        </w:rPr>
      </w:pPr>
    </w:p>
    <w:p w14:paraId="10DDDF8F">
      <w:pPr>
        <w:pStyle w:val="21"/>
        <w:keepNext w:val="0"/>
        <w:keepLines w:val="0"/>
        <w:pageBreakBefore w:val="0"/>
        <w:widowControl w:val="0"/>
        <w:kinsoku/>
        <w:wordWrap/>
        <w:overflowPunct/>
        <w:topLinePunct w:val="0"/>
        <w:autoSpaceDE/>
        <w:autoSpaceDN/>
        <w:bidi w:val="0"/>
        <w:adjustRightInd/>
        <w:snapToGrid/>
        <w:spacing w:before="0" w:beforeAutospacing="0" w:after="157" w:afterLines="50" w:line="360" w:lineRule="auto"/>
        <w:ind w:left="0" w:leftChars="0" w:firstLine="0" w:firstLineChars="0"/>
        <w:jc w:val="center"/>
        <w:textAlignment w:val="auto"/>
        <w:rPr>
          <w:rFonts w:hint="eastAsia"/>
          <w:color w:val="000000" w:themeColor="text1"/>
          <w:highlight w:val="none"/>
          <w14:textFill>
            <w14:solidFill>
              <w14:schemeClr w14:val="tx1"/>
            </w14:solidFill>
          </w14:textFill>
        </w:rPr>
      </w:pPr>
      <w:r>
        <w:rPr>
          <w:rFonts w:hint="eastAsia" w:asciiTheme="minorEastAsia" w:hAnsiTheme="minorEastAsia" w:eastAsiaTheme="minorEastAsia"/>
          <w:b/>
          <w:bCs/>
          <w:color w:val="000000" w:themeColor="text1"/>
          <w:sz w:val="44"/>
          <w:szCs w:val="44"/>
          <w:highlight w:val="none"/>
          <w:lang w:val="en-US" w:eastAsia="zh-CN"/>
          <w14:textFill>
            <w14:solidFill>
              <w14:schemeClr w14:val="tx1"/>
            </w14:solidFill>
          </w14:textFill>
        </w:rPr>
        <w:t>响水县2024年大有镇淮河村宜居宜业和美乡村新增建设项目</w:t>
      </w:r>
    </w:p>
    <w:p w14:paraId="7B073BEF">
      <w:pPr>
        <w:pStyle w:val="4"/>
        <w:rPr>
          <w:rFonts w:hint="eastAsia"/>
          <w:color w:val="000000" w:themeColor="text1"/>
          <w:highlight w:val="none"/>
          <w14:textFill>
            <w14:solidFill>
              <w14:schemeClr w14:val="tx1"/>
            </w14:solidFill>
          </w14:textFill>
        </w:rPr>
      </w:pPr>
    </w:p>
    <w:p w14:paraId="15454783">
      <w:pPr>
        <w:rPr>
          <w:rFonts w:hint="eastAsia"/>
          <w:color w:val="000000" w:themeColor="text1"/>
          <w:highlight w:val="none"/>
          <w14:textFill>
            <w14:solidFill>
              <w14:schemeClr w14:val="tx1"/>
            </w14:solidFill>
          </w14:textFill>
        </w:rPr>
      </w:pPr>
    </w:p>
    <w:p w14:paraId="33CFF33F">
      <w:pPr>
        <w:rPr>
          <w:rFonts w:hint="eastAsia"/>
          <w:color w:val="000000" w:themeColor="text1"/>
          <w:highlight w:val="none"/>
          <w14:textFill>
            <w14:solidFill>
              <w14:schemeClr w14:val="tx1"/>
            </w14:solidFill>
          </w14:textFill>
        </w:rPr>
      </w:pPr>
    </w:p>
    <w:p w14:paraId="6145045C">
      <w:pPr>
        <w:rPr>
          <w:rFonts w:hint="eastAsia"/>
          <w:color w:val="000000" w:themeColor="text1"/>
          <w:highlight w:val="none"/>
          <w14:textFill>
            <w14:solidFill>
              <w14:schemeClr w14:val="tx1"/>
            </w14:solidFill>
          </w14:textFill>
        </w:rPr>
      </w:pPr>
    </w:p>
    <w:p w14:paraId="7CABA57D">
      <w:pPr>
        <w:rPr>
          <w:rFonts w:hint="eastAsia"/>
          <w:color w:val="000000" w:themeColor="text1"/>
          <w:highlight w:val="none"/>
          <w14:textFill>
            <w14:solidFill>
              <w14:schemeClr w14:val="tx1"/>
            </w14:solidFill>
          </w14:textFill>
        </w:rPr>
      </w:pPr>
    </w:p>
    <w:p w14:paraId="44B18834">
      <w:pPr>
        <w:jc w:val="both"/>
        <w:rPr>
          <w:rFonts w:hint="eastAsia" w:ascii="宋体" w:hAnsi="宋体" w:cs="宋体"/>
          <w:b/>
          <w:color w:val="000000" w:themeColor="text1"/>
          <w:kern w:val="0"/>
          <w:sz w:val="48"/>
          <w:szCs w:val="44"/>
          <w:highlight w:val="none"/>
          <w14:textFill>
            <w14:solidFill>
              <w14:schemeClr w14:val="tx1"/>
            </w14:solidFill>
          </w14:textFill>
        </w:rPr>
      </w:pPr>
    </w:p>
    <w:p w14:paraId="6344BE35">
      <w:pPr>
        <w:jc w:val="center"/>
        <w:rPr>
          <w:rFonts w:ascii="宋体" w:hAnsi="宋体"/>
          <w:bCs/>
          <w:color w:val="000000" w:themeColor="text1"/>
          <w:sz w:val="60"/>
          <w:szCs w:val="60"/>
          <w:highlight w:val="none"/>
          <w14:textFill>
            <w14:solidFill>
              <w14:schemeClr w14:val="tx1"/>
            </w14:solidFill>
          </w14:textFill>
        </w:rPr>
      </w:pPr>
      <w:r>
        <w:rPr>
          <w:rFonts w:hint="eastAsia" w:ascii="宋体" w:hAnsi="宋体" w:cs="宋体"/>
          <w:b/>
          <w:color w:val="000000" w:themeColor="text1"/>
          <w:kern w:val="0"/>
          <w:sz w:val="60"/>
          <w:szCs w:val="60"/>
          <w:highlight w:val="none"/>
          <w14:textFill>
            <w14:solidFill>
              <w14:schemeClr w14:val="tx1"/>
            </w14:solidFill>
          </w14:textFill>
        </w:rPr>
        <w:t>招</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件</w:t>
      </w:r>
    </w:p>
    <w:p w14:paraId="7CA38C0C">
      <w:pPr>
        <w:rPr>
          <w:rFonts w:ascii="宋体" w:hAnsi="宋体"/>
          <w:color w:val="000000" w:themeColor="text1"/>
          <w:sz w:val="28"/>
          <w:szCs w:val="28"/>
          <w:highlight w:val="none"/>
          <w:u w:val="single"/>
          <w14:textFill>
            <w14:solidFill>
              <w14:schemeClr w14:val="tx1"/>
            </w14:solidFill>
          </w14:textFill>
        </w:rPr>
      </w:pPr>
    </w:p>
    <w:p w14:paraId="6F9570AB">
      <w:pPr>
        <w:rPr>
          <w:rFonts w:ascii="宋体" w:hAnsi="宋体"/>
          <w:color w:val="000000" w:themeColor="text1"/>
          <w:sz w:val="28"/>
          <w:szCs w:val="28"/>
          <w:highlight w:val="none"/>
          <w:u w:val="single"/>
          <w14:textFill>
            <w14:solidFill>
              <w14:schemeClr w14:val="tx1"/>
            </w14:solidFill>
          </w14:textFill>
        </w:rPr>
      </w:pPr>
    </w:p>
    <w:p w14:paraId="2E7FCC2E">
      <w:pPr>
        <w:rPr>
          <w:rFonts w:hint="eastAsia" w:ascii="宋体" w:hAnsi="宋体"/>
          <w:color w:val="000000" w:themeColor="text1"/>
          <w:sz w:val="28"/>
          <w:szCs w:val="28"/>
          <w:highlight w:val="none"/>
          <w:u w:val="none"/>
          <w:lang w:val="en-US" w:eastAsia="zh-CN"/>
          <w14:textFill>
            <w14:solidFill>
              <w14:schemeClr w14:val="tx1"/>
            </w14:solidFill>
          </w14:textFill>
        </w:rPr>
      </w:pPr>
    </w:p>
    <w:p w14:paraId="76DC773D">
      <w:pPr>
        <w:ind w:firstLine="1446" w:firstLineChars="400"/>
        <w:jc w:val="both"/>
        <w:rPr>
          <w:rFonts w:hint="default" w:ascii="宋体" w:hAnsi="宋体" w:eastAsia="宋体"/>
          <w:color w:val="000000" w:themeColor="text1"/>
          <w:sz w:val="36"/>
          <w:szCs w:val="36"/>
          <w:highlight w:val="none"/>
          <w:u w:val="none"/>
          <w:lang w:val="en-US" w:eastAsia="zh-CN"/>
          <w14:textFill>
            <w14:solidFill>
              <w14:schemeClr w14:val="tx1"/>
            </w14:solidFill>
          </w14:textFill>
        </w:rPr>
      </w:pPr>
      <w:r>
        <w:rPr>
          <w:rFonts w:hint="eastAsia" w:ascii="宋体" w:hAnsi="宋体"/>
          <w:b/>
          <w:bCs/>
          <w:color w:val="000000" w:themeColor="text1"/>
          <w:sz w:val="36"/>
          <w:szCs w:val="36"/>
          <w:highlight w:val="none"/>
          <w:u w:val="none"/>
          <w:lang w:val="en-US" w:eastAsia="zh-CN"/>
          <w14:textFill>
            <w14:solidFill>
              <w14:schemeClr w14:val="tx1"/>
            </w14:solidFill>
          </w14:textFill>
        </w:rPr>
        <w:t>项目编号：320921104N26040001</w:t>
      </w:r>
    </w:p>
    <w:p w14:paraId="23C9876C">
      <w:pPr>
        <w:rPr>
          <w:rFonts w:ascii="宋体" w:hAnsi="宋体"/>
          <w:color w:val="000000" w:themeColor="text1"/>
          <w:sz w:val="28"/>
          <w:szCs w:val="28"/>
          <w:highlight w:val="none"/>
          <w:u w:val="single"/>
          <w14:textFill>
            <w14:solidFill>
              <w14:schemeClr w14:val="tx1"/>
            </w14:solidFill>
          </w14:textFill>
        </w:rPr>
      </w:pPr>
    </w:p>
    <w:p w14:paraId="500647B5">
      <w:pPr>
        <w:rPr>
          <w:rFonts w:hint="eastAsia" w:ascii="宋体" w:hAnsi="宋体" w:eastAsia="宋体"/>
          <w:color w:val="000000" w:themeColor="text1"/>
          <w:sz w:val="28"/>
          <w:szCs w:val="28"/>
          <w:highlight w:val="none"/>
          <w:u w:val="single"/>
          <w:lang w:val="en-US" w:eastAsia="zh-CN"/>
          <w14:textFill>
            <w14:solidFill>
              <w14:schemeClr w14:val="tx1"/>
            </w14:solidFill>
          </w14:textFill>
        </w:rPr>
      </w:pPr>
    </w:p>
    <w:p w14:paraId="2AC8C57E">
      <w:pPr>
        <w:rPr>
          <w:rFonts w:ascii="宋体" w:hAnsi="宋体"/>
          <w:color w:val="000000" w:themeColor="text1"/>
          <w:sz w:val="28"/>
          <w:szCs w:val="28"/>
          <w:highlight w:val="none"/>
          <w:u w:val="single"/>
          <w14:textFill>
            <w14:solidFill>
              <w14:schemeClr w14:val="tx1"/>
            </w14:solidFill>
          </w14:textFill>
        </w:rPr>
      </w:pPr>
    </w:p>
    <w:p w14:paraId="59068C39">
      <w:pPr>
        <w:rPr>
          <w:rFonts w:ascii="宋体" w:hAnsi="宋体"/>
          <w:color w:val="000000" w:themeColor="text1"/>
          <w:sz w:val="28"/>
          <w:szCs w:val="28"/>
          <w:highlight w:val="none"/>
          <w:u w:val="single"/>
          <w14:textFill>
            <w14:solidFill>
              <w14:schemeClr w14:val="tx1"/>
            </w14:solidFill>
          </w14:textFill>
        </w:rPr>
      </w:pPr>
    </w:p>
    <w:p w14:paraId="69F3E0CE">
      <w:pPr>
        <w:rPr>
          <w:rFonts w:ascii="宋体" w:hAnsi="宋体"/>
          <w:color w:val="000000" w:themeColor="text1"/>
          <w:sz w:val="28"/>
          <w:szCs w:val="28"/>
          <w:highlight w:val="none"/>
          <w:u w:val="single"/>
          <w14:textFill>
            <w14:solidFill>
              <w14:schemeClr w14:val="tx1"/>
            </w14:solidFill>
          </w14:textFill>
        </w:rPr>
      </w:pPr>
    </w:p>
    <w:p w14:paraId="76AEF0A4">
      <w:pPr>
        <w:rPr>
          <w:rFonts w:ascii="宋体" w:hAnsi="宋体"/>
          <w:color w:val="000000" w:themeColor="text1"/>
          <w:sz w:val="28"/>
          <w:szCs w:val="28"/>
          <w:highlight w:val="none"/>
          <w:u w:val="single"/>
          <w14:textFill>
            <w14:solidFill>
              <w14:schemeClr w14:val="tx1"/>
            </w14:solidFill>
          </w14:textFill>
        </w:rPr>
      </w:pPr>
    </w:p>
    <w:p w14:paraId="57A68A01">
      <w:pPr>
        <w:rPr>
          <w:rFonts w:ascii="宋体" w:hAnsi="宋体"/>
          <w:color w:val="000000" w:themeColor="text1"/>
          <w:sz w:val="28"/>
          <w:szCs w:val="28"/>
          <w:highlight w:val="none"/>
          <w:u w:val="single"/>
          <w14:textFill>
            <w14:solidFill>
              <w14:schemeClr w14:val="tx1"/>
            </w14:solidFill>
          </w14:textFill>
        </w:rPr>
      </w:pPr>
    </w:p>
    <w:p w14:paraId="7771C4F6">
      <w:pPr>
        <w:rPr>
          <w:rFonts w:ascii="宋体" w:hAnsi="宋体"/>
          <w:color w:val="000000" w:themeColor="text1"/>
          <w:sz w:val="28"/>
          <w:szCs w:val="28"/>
          <w:highlight w:val="none"/>
          <w:u w:val="single"/>
          <w14:textFill>
            <w14:solidFill>
              <w14:schemeClr w14:val="tx1"/>
            </w14:solidFill>
          </w14:textFill>
        </w:rPr>
      </w:pPr>
    </w:p>
    <w:p w14:paraId="5EDD0DE0">
      <w:pPr>
        <w:spacing w:line="640" w:lineRule="exact"/>
        <w:ind w:firstLine="321" w:firstLineChars="100"/>
        <w:jc w:val="center"/>
        <w:rPr>
          <w:b/>
          <w:bCs/>
          <w:color w:val="000000" w:themeColor="text1"/>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招标人</w:t>
      </w:r>
      <w:r>
        <w:rPr>
          <w:rFonts w:hint="eastAsia" w:ascii="宋体" w:hAnsi="宋体" w:cs="宋体"/>
          <w:color w:val="000000" w:themeColor="text1"/>
          <w:sz w:val="32"/>
          <w:szCs w:val="32"/>
          <w:highlight w:val="none"/>
          <w14:textFill>
            <w14:solidFill>
              <w14:schemeClr w14:val="tx1"/>
            </w14:solidFill>
          </w14:textFill>
        </w:rPr>
        <w:t>：</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江苏省盐城市响水县大有镇淮河村村民委员会</w:t>
      </w:r>
      <w:r>
        <w:rPr>
          <w:rFonts w:hint="eastAsia" w:ascii="宋体" w:hAnsi="宋体" w:cs="宋体"/>
          <w:b/>
          <w:bCs/>
          <w:color w:val="000000" w:themeColor="text1"/>
          <w:sz w:val="32"/>
          <w:szCs w:val="32"/>
          <w:highlight w:val="none"/>
          <w14:textFill>
            <w14:solidFill>
              <w14:schemeClr w14:val="tx1"/>
            </w14:solidFill>
          </w14:textFill>
        </w:rPr>
        <w:t>（盖章）</w:t>
      </w:r>
    </w:p>
    <w:p w14:paraId="3E51CE01">
      <w:pPr>
        <w:snapToGrid w:val="0"/>
        <w:spacing w:line="640" w:lineRule="exact"/>
        <w:rPr>
          <w:rFonts w:ascii="宋体" w:hAnsi="宋体" w:cs="宋体"/>
          <w:b/>
          <w:bCs/>
          <w:color w:val="000000" w:themeColor="text1"/>
          <w:sz w:val="32"/>
          <w:szCs w:val="32"/>
          <w:highlight w:val="none"/>
          <w14:textFill>
            <w14:solidFill>
              <w14:schemeClr w14:val="tx1"/>
            </w14:solidFill>
          </w14:textFill>
        </w:rPr>
      </w:pPr>
    </w:p>
    <w:p w14:paraId="653017D0">
      <w:pPr>
        <w:ind w:firstLine="321" w:firstLineChars="100"/>
        <w:jc w:val="center"/>
        <w:rPr>
          <w:rFonts w:ascii="宋体" w:hAns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招标代理机构：</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 xml:space="preserve"> 江苏远方工程项目管理有限公司 </w:t>
      </w:r>
      <w:r>
        <w:rPr>
          <w:rFonts w:hint="eastAsia" w:ascii="宋体" w:hAnsi="宋体" w:cs="宋体"/>
          <w:b/>
          <w:bCs/>
          <w:color w:val="000000" w:themeColor="text1"/>
          <w:sz w:val="32"/>
          <w:szCs w:val="32"/>
          <w:highlight w:val="none"/>
          <w14:textFill>
            <w14:solidFill>
              <w14:schemeClr w14:val="tx1"/>
            </w14:solidFill>
          </w14:textFill>
        </w:rPr>
        <w:t>（盖章）</w:t>
      </w:r>
    </w:p>
    <w:p w14:paraId="5AE08CA3">
      <w:pPr>
        <w:rPr>
          <w:rFonts w:ascii="宋体" w:hAnsi="宋体"/>
          <w:b/>
          <w:bCs/>
          <w:color w:val="000000" w:themeColor="text1"/>
          <w:sz w:val="28"/>
          <w:szCs w:val="28"/>
          <w:highlight w:val="none"/>
          <w14:textFill>
            <w14:solidFill>
              <w14:schemeClr w14:val="tx1"/>
            </w14:solidFill>
          </w14:textFill>
        </w:rPr>
      </w:pPr>
    </w:p>
    <w:p w14:paraId="620F38DB">
      <w:pPr>
        <w:rPr>
          <w:rFonts w:ascii="宋体" w:hAnsi="宋体"/>
          <w:b/>
          <w:bCs/>
          <w:color w:val="000000" w:themeColor="text1"/>
          <w:sz w:val="28"/>
          <w:szCs w:val="28"/>
          <w:highlight w:val="none"/>
          <w14:textFill>
            <w14:solidFill>
              <w14:schemeClr w14:val="tx1"/>
            </w14:solidFill>
          </w14:textFill>
        </w:rPr>
      </w:pPr>
    </w:p>
    <w:p w14:paraId="05478048">
      <w:pPr>
        <w:jc w:val="center"/>
        <w:rPr>
          <w:rFonts w:hint="eastAsia" w:ascii="宋体" w:hAnsi="宋体" w:eastAsia="宋体"/>
          <w:b/>
          <w:bCs/>
          <w:color w:val="000000" w:themeColor="text1"/>
          <w:sz w:val="32"/>
          <w:szCs w:val="32"/>
          <w:highlight w:val="none"/>
          <w:u w:val="single"/>
          <w:lang w:val="en-US" w:eastAsia="zh-CN"/>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日   期：</w:t>
      </w:r>
      <w:r>
        <w:rPr>
          <w:rFonts w:hint="eastAsia" w:ascii="宋体" w:hAnsi="宋体"/>
          <w:b/>
          <w:bCs/>
          <w:color w:val="000000" w:themeColor="text1"/>
          <w:sz w:val="32"/>
          <w:szCs w:val="32"/>
          <w:highlight w:val="none"/>
          <w:lang w:eastAsia="zh-CN"/>
          <w14:textFill>
            <w14:solidFill>
              <w14:schemeClr w14:val="tx1"/>
            </w14:solidFill>
          </w14:textFill>
        </w:rPr>
        <w:t>202</w:t>
      </w:r>
      <w:r>
        <w:rPr>
          <w:rFonts w:hint="eastAsia" w:ascii="宋体" w:hAnsi="宋体"/>
          <w:b/>
          <w:bCs/>
          <w:color w:val="000000" w:themeColor="text1"/>
          <w:sz w:val="32"/>
          <w:szCs w:val="32"/>
          <w:highlight w:val="none"/>
          <w:lang w:val="en-US" w:eastAsia="zh-CN"/>
          <w14:textFill>
            <w14:solidFill>
              <w14:schemeClr w14:val="tx1"/>
            </w14:solidFill>
          </w14:textFill>
        </w:rPr>
        <w:t>6</w:t>
      </w:r>
      <w:r>
        <w:rPr>
          <w:rFonts w:hint="eastAsia" w:ascii="宋体" w:hAnsi="宋体"/>
          <w:b/>
          <w:bCs/>
          <w:color w:val="000000" w:themeColor="text1"/>
          <w:sz w:val="32"/>
          <w:szCs w:val="32"/>
          <w:highlight w:val="none"/>
          <w:lang w:eastAsia="zh-CN"/>
          <w14:textFill>
            <w14:solidFill>
              <w14:schemeClr w14:val="tx1"/>
            </w14:solidFill>
          </w14:textFill>
        </w:rPr>
        <w:t>年</w:t>
      </w:r>
      <w:r>
        <w:rPr>
          <w:rFonts w:hint="eastAsia" w:ascii="宋体" w:hAnsi="宋体"/>
          <w:b/>
          <w:bCs/>
          <w:color w:val="000000" w:themeColor="text1"/>
          <w:sz w:val="32"/>
          <w:szCs w:val="32"/>
          <w:highlight w:val="none"/>
          <w:lang w:val="en-US" w:eastAsia="zh-CN"/>
          <w14:textFill>
            <w14:solidFill>
              <w14:schemeClr w14:val="tx1"/>
            </w14:solidFill>
          </w14:textFill>
        </w:rPr>
        <w:t>4</w:t>
      </w:r>
      <w:r>
        <w:rPr>
          <w:rFonts w:hint="eastAsia" w:ascii="宋体" w:hAnsi="宋体"/>
          <w:b/>
          <w:bCs/>
          <w:color w:val="000000" w:themeColor="text1"/>
          <w:sz w:val="32"/>
          <w:szCs w:val="32"/>
          <w:highlight w:val="none"/>
          <w:lang w:eastAsia="zh-CN"/>
          <w14:textFill>
            <w14:solidFill>
              <w14:schemeClr w14:val="tx1"/>
            </w14:solidFill>
          </w14:textFill>
        </w:rPr>
        <w:t>月</w:t>
      </w:r>
    </w:p>
    <w:p w14:paraId="2F5815E1">
      <w:pP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br w:type="page"/>
      </w:r>
    </w:p>
    <w:p w14:paraId="3CFB46BF">
      <w:pPr>
        <w:jc w:val="cente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t>目   录</w:t>
      </w:r>
    </w:p>
    <w:p w14:paraId="12D1234E">
      <w:pPr>
        <w:pStyle w:val="13"/>
        <w:tabs>
          <w:tab w:val="right" w:leader="dot" w:pos="8821"/>
        </w:tabs>
        <w:ind w:firstLine="800" w:firstLineChars="250"/>
        <w:rPr>
          <w:rFonts w:ascii="宋体" w:hAnsi="宋体" w:cs="宋体"/>
          <w:b w:val="0"/>
          <w:color w:val="000000" w:themeColor="text1"/>
          <w:kern w:val="0"/>
          <w:sz w:val="32"/>
          <w:szCs w:val="32"/>
          <w:highlight w:val="none"/>
          <w14:textFill>
            <w14:solidFill>
              <w14:schemeClr w14:val="tx1"/>
            </w14:solidFill>
          </w14:textFill>
        </w:rPr>
      </w:pPr>
    </w:p>
    <w:p w14:paraId="332C2032">
      <w:pPr>
        <w:pStyle w:val="13"/>
        <w:tabs>
          <w:tab w:val="right" w:leader="dot" w:pos="8821"/>
        </w:tabs>
        <w:ind w:firstLine="800" w:firstLineChars="250"/>
        <w:rPr>
          <w:rFonts w:ascii="宋体" w:hAnsi="宋体"/>
          <w:color w:val="000000" w:themeColor="text1"/>
          <w:sz w:val="32"/>
          <w:szCs w:val="32"/>
          <w:highlight w:val="none"/>
          <w14:textFill>
            <w14:solidFill>
              <w14:schemeClr w14:val="tx1"/>
            </w14:solidFill>
          </w14:textFill>
        </w:rPr>
      </w:pPr>
      <w:r>
        <w:rPr>
          <w:rFonts w:ascii="宋体" w:hAnsi="宋体" w:cs="宋体"/>
          <w:b w:val="0"/>
          <w:color w:val="000000" w:themeColor="text1"/>
          <w:kern w:val="0"/>
          <w:sz w:val="32"/>
          <w:szCs w:val="32"/>
          <w:highlight w:val="none"/>
          <w14:textFill>
            <w14:solidFill>
              <w14:schemeClr w14:val="tx1"/>
            </w14:solidFill>
          </w14:textFill>
        </w:rPr>
        <w:fldChar w:fldCharType="begin"/>
      </w:r>
      <w:r>
        <w:rPr>
          <w:rFonts w:ascii="宋体" w:hAnsi="宋体" w:cs="宋体"/>
          <w:b w:val="0"/>
          <w:color w:val="000000" w:themeColor="text1"/>
          <w:kern w:val="0"/>
          <w:sz w:val="32"/>
          <w:szCs w:val="32"/>
          <w:highlight w:val="none"/>
          <w14:textFill>
            <w14:solidFill>
              <w14:schemeClr w14:val="tx1"/>
            </w14:solidFill>
          </w14:textFill>
        </w:rPr>
        <w:instrText xml:space="preserve"> TOC \o "1-3" \h \z \u </w:instrText>
      </w:r>
      <w:r>
        <w:rPr>
          <w:rFonts w:ascii="宋体" w:hAnsi="宋体" w:cs="宋体"/>
          <w:b w:val="0"/>
          <w:color w:val="000000" w:themeColor="text1"/>
          <w:kern w:val="0"/>
          <w:sz w:val="32"/>
          <w:szCs w:val="32"/>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"_Toc28136"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kern w:val="0"/>
          <w:sz w:val="32"/>
          <w:szCs w:val="32"/>
          <w:highlight w:val="none"/>
          <w14:textFill>
            <w14:solidFill>
              <w14:schemeClr w14:val="tx1"/>
            </w14:solidFill>
          </w14:textFill>
        </w:rPr>
        <w:t xml:space="preserve">第一章  </w:t>
      </w:r>
      <w:r>
        <w:rPr>
          <w:rFonts w:hint="eastAsia" w:ascii="宋体" w:hAnsi="宋体"/>
          <w:color w:val="000000" w:themeColor="text1"/>
          <w:sz w:val="32"/>
          <w:szCs w:val="32"/>
          <w:highlight w:val="none"/>
          <w:lang w:val="en-US" w:eastAsia="zh-CN"/>
          <w14:textFill>
            <w14:solidFill>
              <w14:schemeClr w14:val="tx1"/>
            </w14:solidFill>
          </w14:textFill>
        </w:rPr>
        <w:t>招</w:t>
      </w:r>
      <w:r>
        <w:rPr>
          <w:rFonts w:hint="eastAsia" w:ascii="宋体" w:hAnsi="宋体"/>
          <w:color w:val="000000" w:themeColor="text1"/>
          <w:sz w:val="32"/>
          <w:szCs w:val="32"/>
          <w:highlight w:val="none"/>
          <w14:textFill>
            <w14:solidFill>
              <w14:schemeClr w14:val="tx1"/>
            </w14:solidFill>
          </w14:textFill>
        </w:rPr>
        <w:t>标</w:t>
      </w:r>
      <w:r>
        <w:rPr>
          <w:rFonts w:hint="eastAsia" w:ascii="宋体" w:hAnsi="宋体"/>
          <w:color w:val="000000" w:themeColor="text1"/>
          <w:sz w:val="32"/>
          <w:szCs w:val="32"/>
          <w:highlight w:val="none"/>
          <w14:textFill>
            <w14:solidFill>
              <w14:schemeClr w14:val="tx1"/>
            </w14:solidFill>
          </w14:textFill>
        </w:rPr>
        <w:fldChar w:fldCharType="end"/>
      </w:r>
      <w:r>
        <w:rPr>
          <w:rFonts w:hint="eastAsia" w:ascii="宋体" w:hAnsi="宋体"/>
          <w:color w:val="000000" w:themeColor="text1"/>
          <w:sz w:val="32"/>
          <w:szCs w:val="32"/>
          <w:highlight w:val="none"/>
          <w14:textFill>
            <w14:solidFill>
              <w14:schemeClr w14:val="tx1"/>
            </w14:solidFill>
          </w14:textFill>
        </w:rPr>
        <w:t>公告</w:t>
      </w:r>
    </w:p>
    <w:p w14:paraId="0829B847">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2DF71C8B">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"_Toc24829"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 xml:space="preserve">第二章 </w:t>
      </w:r>
      <w:r>
        <w:rPr>
          <w:rFonts w:hint="eastAsia" w:ascii="宋体" w:hAnsi="宋体"/>
          <w:color w:val="000000" w:themeColor="text1"/>
          <w:sz w:val="32"/>
          <w:szCs w:val="32"/>
          <w:highlight w:val="none"/>
          <w:lang w:val="en-US" w:eastAsia="zh-CN"/>
          <w14:textFill>
            <w14:solidFill>
              <w14:schemeClr w14:val="tx1"/>
            </w14:solidFill>
          </w14:textFill>
        </w:rPr>
        <w:t xml:space="preserve"> </w:t>
      </w:r>
      <w:r>
        <w:rPr>
          <w:rFonts w:hint="eastAsia" w:ascii="宋体" w:hAnsi="宋体"/>
          <w:color w:val="000000" w:themeColor="text1"/>
          <w:sz w:val="32"/>
          <w:szCs w:val="32"/>
          <w:highlight w:val="none"/>
          <w14:textFill>
            <w14:solidFill>
              <w14:schemeClr w14:val="tx1"/>
            </w14:solidFill>
          </w14:textFill>
        </w:rPr>
        <w:t>投标人须知</w:t>
      </w:r>
      <w:r>
        <w:rPr>
          <w:rFonts w:hint="eastAsia" w:ascii="宋体" w:hAnsi="宋体"/>
          <w:color w:val="000000" w:themeColor="text1"/>
          <w:sz w:val="32"/>
          <w:szCs w:val="32"/>
          <w:highlight w:val="none"/>
          <w14:textFill>
            <w14:solidFill>
              <w14:schemeClr w14:val="tx1"/>
            </w14:solidFill>
          </w14:textFill>
        </w:rPr>
        <w:fldChar w:fldCharType="end"/>
      </w:r>
    </w:p>
    <w:p w14:paraId="09DFB4B3">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02D36902">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r>
        <w:rPr>
          <w:rFonts w:hint="eastAsia" w:ascii="宋体" w:hAnsi="宋体" w:cs="宋体"/>
          <w:color w:val="000000" w:themeColor="text1"/>
          <w:kern w:val="0"/>
          <w:sz w:val="32"/>
          <w:szCs w:val="32"/>
          <w:highlight w:val="none"/>
          <w14:textFill>
            <w14:solidFill>
              <w14:schemeClr w14:val="tx1"/>
            </w14:solidFill>
          </w14:textFill>
        </w:rPr>
        <w:t>第三章  评标办法</w:t>
      </w:r>
    </w:p>
    <w:p w14:paraId="583CFCE8">
      <w:pPr>
        <w:pStyle w:val="13"/>
        <w:tabs>
          <w:tab w:val="right" w:leader="dot" w:pos="8821"/>
        </w:tabs>
        <w:ind w:firstLine="502" w:firstLineChars="250"/>
        <w:rPr>
          <w:rFonts w:ascii="宋体" w:hAnsi="宋体"/>
          <w:color w:val="000000" w:themeColor="text1"/>
          <w:highlight w:val="none"/>
          <w14:textFill>
            <w14:solidFill>
              <w14:schemeClr w14:val="tx1"/>
            </w14:solidFill>
          </w14:textFill>
        </w:rPr>
      </w:pPr>
    </w:p>
    <w:p w14:paraId="5B98009C">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"_Toc29430"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sz w:val="32"/>
          <w:szCs w:val="32"/>
          <w:highlight w:val="none"/>
          <w14:textFill>
            <w14:solidFill>
              <w14:schemeClr w14:val="tx1"/>
            </w14:solidFill>
          </w14:textFill>
        </w:rPr>
        <w:t>第四章  工程施工合同</w:t>
      </w:r>
      <w:r>
        <w:rPr>
          <w:rFonts w:hint="eastAsia" w:ascii="宋体" w:hAnsi="宋体" w:cs="宋体"/>
          <w:color w:val="000000" w:themeColor="text1"/>
          <w:sz w:val="32"/>
          <w:szCs w:val="32"/>
          <w:highlight w:val="none"/>
          <w14:textFill>
            <w14:solidFill>
              <w14:schemeClr w14:val="tx1"/>
            </w14:solidFill>
          </w14:textFill>
        </w:rPr>
        <w:fldChar w:fldCharType="end"/>
      </w:r>
    </w:p>
    <w:p w14:paraId="6EBDA965">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7AF0E944">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"_Toc5616"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第五章  工程量清单</w:t>
      </w:r>
      <w:r>
        <w:rPr>
          <w:rFonts w:hint="eastAsia" w:ascii="宋体" w:hAnsi="宋体"/>
          <w:color w:val="000000" w:themeColor="text1"/>
          <w:sz w:val="32"/>
          <w:szCs w:val="32"/>
          <w:highlight w:val="none"/>
          <w14:textFill>
            <w14:solidFill>
              <w14:schemeClr w14:val="tx1"/>
            </w14:solidFill>
          </w14:textFill>
        </w:rPr>
        <w:fldChar w:fldCharType="end"/>
      </w:r>
    </w:p>
    <w:p w14:paraId="484CE8DD">
      <w:pPr>
        <w:pStyle w:val="13"/>
        <w:tabs>
          <w:tab w:val="right" w:leader="dot" w:pos="8821"/>
        </w:tabs>
        <w:rPr>
          <w:rFonts w:ascii="宋体" w:hAnsi="宋体" w:cs="宋体"/>
          <w:color w:val="000000" w:themeColor="text1"/>
          <w:kern w:val="0"/>
          <w:sz w:val="32"/>
          <w:szCs w:val="32"/>
          <w:highlight w:val="none"/>
          <w14:textFill>
            <w14:solidFill>
              <w14:schemeClr w14:val="tx1"/>
            </w14:solidFill>
          </w14:textFill>
        </w:rPr>
      </w:pPr>
    </w:p>
    <w:p w14:paraId="041A4F36">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"_Toc31726"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第六章  投标文件格式</w:t>
      </w:r>
      <w:r>
        <w:rPr>
          <w:rFonts w:hint="eastAsia" w:ascii="宋体" w:hAnsi="宋体"/>
          <w:color w:val="000000" w:themeColor="text1"/>
          <w:sz w:val="32"/>
          <w:szCs w:val="32"/>
          <w:highlight w:val="none"/>
          <w14:textFill>
            <w14:solidFill>
              <w14:schemeClr w14:val="tx1"/>
            </w14:solidFill>
          </w14:textFill>
        </w:rPr>
        <w:fldChar w:fldCharType="end"/>
      </w:r>
    </w:p>
    <w:p w14:paraId="49592E62">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r>
        <w:rPr>
          <w:rFonts w:ascii="宋体" w:hAnsi="宋体" w:cs="宋体"/>
          <w:color w:val="000000" w:themeColor="text1"/>
          <w:kern w:val="0"/>
          <w:sz w:val="32"/>
          <w:szCs w:val="32"/>
          <w:highlight w:val="none"/>
          <w14:textFill>
            <w14:solidFill>
              <w14:schemeClr w14:val="tx1"/>
            </w14:solidFill>
          </w14:textFill>
        </w:rPr>
        <w:fldChar w:fldCharType="end"/>
      </w:r>
    </w:p>
    <w:p w14:paraId="6BF9DC5E">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p>
    <w:p w14:paraId="7782856D">
      <w:pPr>
        <w:jc w:val="center"/>
        <w:outlineLvl w:val="0"/>
        <w:rPr>
          <w:rFonts w:ascii="宋体" w:hAnsi="宋体" w:cs="宋体"/>
          <w:b/>
          <w:color w:val="000000" w:themeColor="text1"/>
          <w:kern w:val="0"/>
          <w:sz w:val="28"/>
          <w:szCs w:val="28"/>
          <w:highlight w:val="none"/>
          <w14:textFill>
            <w14:solidFill>
              <w14:schemeClr w14:val="tx1"/>
            </w14:solidFill>
          </w14:textFill>
        </w:rPr>
      </w:pPr>
      <w:r>
        <w:rPr>
          <w:rFonts w:ascii="宋体" w:hAnsi="宋体" w:cs="宋体"/>
          <w:b/>
          <w:color w:val="000000" w:themeColor="text1"/>
          <w:kern w:val="0"/>
          <w:sz w:val="28"/>
          <w:szCs w:val="28"/>
          <w:highlight w:val="none"/>
          <w14:textFill>
            <w14:solidFill>
              <w14:schemeClr w14:val="tx1"/>
            </w14:solidFill>
          </w14:textFill>
        </w:rPr>
        <w:br w:type="page"/>
      </w:r>
    </w:p>
    <w:p w14:paraId="719C72A3">
      <w:pPr>
        <w:jc w:val="center"/>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lang w:val="en-US" w:eastAsia="zh-CN"/>
          <w14:textFill>
            <w14:solidFill>
              <w14:schemeClr w14:val="tx1"/>
            </w14:solidFill>
          </w14:textFill>
        </w:rPr>
        <w:t xml:space="preserve">第一章  </w:t>
      </w:r>
      <w:r>
        <w:rPr>
          <w:rFonts w:hint="eastAsia" w:ascii="宋体" w:hAnsi="宋体" w:cs="宋体"/>
          <w:b/>
          <w:color w:val="000000" w:themeColor="text1"/>
          <w:sz w:val="36"/>
          <w:szCs w:val="36"/>
          <w:highlight w:val="none"/>
          <w14:textFill>
            <w14:solidFill>
              <w14:schemeClr w14:val="tx1"/>
            </w14:solidFill>
          </w14:textFill>
        </w:rPr>
        <w:t>招标公告</w:t>
      </w:r>
    </w:p>
    <w:p w14:paraId="3A92307A">
      <w:pPr>
        <w:keepNext w:val="0"/>
        <w:keepLines w:val="0"/>
        <w:pageBreakBefore w:val="0"/>
        <w:kinsoku/>
        <w:wordWrap/>
        <w:overflowPunct/>
        <w:topLinePunct w:val="0"/>
        <w:autoSpaceDE/>
        <w:autoSpaceDN/>
        <w:bidi w:val="0"/>
        <w:adjustRightInd/>
        <w:snapToGrid/>
        <w:spacing w:line="400" w:lineRule="exact"/>
        <w:ind w:firstLine="482" w:firstLineChars="200"/>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一、招标条件</w:t>
      </w:r>
    </w:p>
    <w:p w14:paraId="67279FB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lang w:eastAsia="zh-CN"/>
          <w14:textFill>
            <w14:solidFill>
              <w14:schemeClr w14:val="tx1"/>
            </w14:solidFill>
          </w14:textFill>
        </w:rPr>
        <w:t xml:space="preserve">响水县2024年大有镇淮河村宜居宜业和美乡村新增建设项目 </w:t>
      </w:r>
      <w:r>
        <w:rPr>
          <w:rFonts w:hint="eastAsia" w:ascii="宋体" w:hAnsi="宋体" w:cs="宋体"/>
          <w:color w:val="000000" w:themeColor="text1"/>
          <w:sz w:val="24"/>
          <w:highlight w:val="none"/>
          <w14:textFill>
            <w14:solidFill>
              <w14:schemeClr w14:val="tx1"/>
            </w14:solidFill>
          </w14:textFill>
        </w:rPr>
        <w:t>已由上级主管部门批准实施。招标人为</w:t>
      </w:r>
      <w:r>
        <w:rPr>
          <w:rFonts w:hint="eastAsia" w:ascii="宋体" w:hAnsi="宋体" w:cs="宋体"/>
          <w:color w:val="000000" w:themeColor="text1"/>
          <w:sz w:val="24"/>
          <w:highlight w:val="none"/>
          <w:u w:val="single"/>
          <w:lang w:eastAsia="zh-CN"/>
          <w14:textFill>
            <w14:solidFill>
              <w14:schemeClr w14:val="tx1"/>
            </w14:solidFill>
          </w14:textFill>
        </w:rPr>
        <w:t>江苏省盐城市响水县大有镇淮河村村民委员会</w:t>
      </w:r>
      <w:r>
        <w:rPr>
          <w:rFonts w:hint="eastAsia" w:ascii="宋体" w:hAnsi="宋体" w:cs="宋体"/>
          <w:color w:val="000000" w:themeColor="text1"/>
          <w:sz w:val="24"/>
          <w:highlight w:val="none"/>
          <w14:textFill>
            <w14:solidFill>
              <w14:schemeClr w14:val="tx1"/>
            </w14:solidFill>
          </w14:textFill>
        </w:rPr>
        <w:t>，工程建设资金</w:t>
      </w:r>
      <w:r>
        <w:rPr>
          <w:rFonts w:hint="eastAsia" w:ascii="宋体" w:hAnsi="宋体" w:cs="宋体"/>
          <w:color w:val="000000" w:themeColor="text1"/>
          <w:sz w:val="24"/>
          <w:highlight w:val="none"/>
          <w:u w:val="single"/>
          <w14:textFill>
            <w14:solidFill>
              <w14:schemeClr w14:val="tx1"/>
            </w14:solidFill>
          </w14:textFill>
        </w:rPr>
        <w:t>已落实</w:t>
      </w:r>
      <w:r>
        <w:rPr>
          <w:rFonts w:hint="eastAsia" w:ascii="宋体" w:hAnsi="宋体" w:cs="宋体"/>
          <w:color w:val="000000" w:themeColor="text1"/>
          <w:sz w:val="24"/>
          <w:highlight w:val="none"/>
          <w14:textFill>
            <w14:solidFill>
              <w14:schemeClr w14:val="tx1"/>
            </w14:solidFill>
          </w14:textFill>
        </w:rPr>
        <w:t>。项目已具备招标条件，现对该项目进行公开招标。本次招标对投标报名人采用资格后审方法确定合格的投标人。</w:t>
      </w:r>
    </w:p>
    <w:p w14:paraId="0434642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二、项目概况与招标范围</w:t>
      </w:r>
    </w:p>
    <w:p w14:paraId="4F7E78C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1、建设地点：</w:t>
      </w:r>
      <w:r>
        <w:rPr>
          <w:rFonts w:hint="eastAsia" w:ascii="宋体" w:hAnsi="宋体" w:cs="宋体"/>
          <w:color w:val="000000" w:themeColor="text1"/>
          <w:sz w:val="24"/>
          <w:highlight w:val="none"/>
          <w:lang w:eastAsia="zh-CN"/>
          <w14:textFill>
            <w14:solidFill>
              <w14:schemeClr w14:val="tx1"/>
            </w14:solidFill>
          </w14:textFill>
        </w:rPr>
        <w:t>响水县</w:t>
      </w:r>
      <w:r>
        <w:rPr>
          <w:rFonts w:hint="eastAsia" w:ascii="宋体" w:hAnsi="宋体" w:cs="宋体"/>
          <w:color w:val="000000" w:themeColor="text1"/>
          <w:sz w:val="24"/>
          <w:highlight w:val="none"/>
          <w:lang w:val="en-US" w:eastAsia="zh-CN"/>
          <w14:textFill>
            <w14:solidFill>
              <w14:schemeClr w14:val="tx1"/>
            </w14:solidFill>
          </w14:textFill>
        </w:rPr>
        <w:t>境内</w:t>
      </w:r>
      <w:r>
        <w:rPr>
          <w:rFonts w:hint="eastAsia" w:ascii="宋体" w:hAnsi="宋体" w:cs="宋体"/>
          <w:color w:val="000000" w:themeColor="text1"/>
          <w:sz w:val="24"/>
          <w:highlight w:val="none"/>
          <w14:textFill>
            <w14:solidFill>
              <w14:schemeClr w14:val="tx1"/>
            </w14:solidFill>
          </w14:textFill>
        </w:rPr>
        <w:t>。</w:t>
      </w:r>
    </w:p>
    <w:p w14:paraId="25D05CE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2、工程规模：工程造价约</w:t>
      </w:r>
      <w:r>
        <w:rPr>
          <w:rFonts w:hint="eastAsia" w:ascii="宋体" w:hAnsi="宋体" w:cs="宋体"/>
          <w:color w:val="000000" w:themeColor="text1"/>
          <w:sz w:val="24"/>
          <w:highlight w:val="none"/>
          <w:lang w:val="en-US" w:eastAsia="zh-CN"/>
          <w14:textFill>
            <w14:solidFill>
              <w14:schemeClr w14:val="tx1"/>
            </w14:solidFill>
          </w14:textFill>
        </w:rPr>
        <w:t>90.27</w:t>
      </w:r>
      <w:r>
        <w:rPr>
          <w:rFonts w:hint="eastAsia" w:ascii="宋体" w:hAnsi="宋体" w:cs="宋体"/>
          <w:color w:val="000000" w:themeColor="text1"/>
          <w:sz w:val="24"/>
          <w:highlight w:val="none"/>
          <w14:textFill>
            <w14:solidFill>
              <w14:schemeClr w14:val="tx1"/>
            </w14:solidFill>
          </w14:textFill>
        </w:rPr>
        <w:t>万元。</w:t>
      </w:r>
    </w:p>
    <w:p w14:paraId="1C7787A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3、工期要求：</w:t>
      </w:r>
      <w:r>
        <w:rPr>
          <w:rFonts w:hint="eastAsia" w:ascii="宋体" w:hAnsi="宋体" w:cs="宋体"/>
          <w:color w:val="000000" w:themeColor="text1"/>
          <w:sz w:val="24"/>
          <w:highlight w:val="none"/>
          <w:u w:val="single"/>
          <w:lang w:val="en-US" w:eastAsia="zh-CN"/>
          <w14:textFill>
            <w14:solidFill>
              <w14:schemeClr w14:val="tx1"/>
            </w14:solidFill>
          </w14:textFill>
        </w:rPr>
        <w:t>50</w:t>
      </w:r>
      <w:r>
        <w:rPr>
          <w:rFonts w:hint="eastAsia" w:ascii="宋体" w:hAnsi="宋体" w:cs="宋体"/>
          <w:color w:val="000000" w:themeColor="text1"/>
          <w:sz w:val="24"/>
          <w:highlight w:val="none"/>
          <w:lang w:val="en-US" w:eastAsia="zh-CN"/>
          <w14:textFill>
            <w14:solidFill>
              <w14:schemeClr w14:val="tx1"/>
            </w14:solidFill>
          </w14:textFill>
        </w:rPr>
        <w:t>日历天</w:t>
      </w:r>
      <w:r>
        <w:rPr>
          <w:rFonts w:hint="eastAsia" w:ascii="宋体" w:hAnsi="宋体" w:cs="宋体"/>
          <w:color w:val="000000" w:themeColor="text1"/>
          <w:sz w:val="24"/>
          <w:highlight w:val="none"/>
          <w14:textFill>
            <w14:solidFill>
              <w14:schemeClr w14:val="tx1"/>
            </w14:solidFill>
          </w14:textFill>
        </w:rPr>
        <w:t>, 具体开工日期以招标人的书面通知为准。</w:t>
      </w:r>
    </w:p>
    <w:p w14:paraId="76E3CB0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4、质量标准：国家“合格”标准。</w:t>
      </w:r>
    </w:p>
    <w:p w14:paraId="50A7C26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5、承包方式：包工包料。</w:t>
      </w:r>
    </w:p>
    <w:p w14:paraId="7584898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6、招标范围：具体详见招标人提供的招标工程量清单。招标人保留对工作量进行变更或增减的权利。</w:t>
      </w:r>
    </w:p>
    <w:p w14:paraId="2E907CA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7、标段划分：本次招标为一个标段。</w:t>
      </w:r>
    </w:p>
    <w:p w14:paraId="5601892E">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三、投标人资格要求</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1、资质等级及范围：投标人须具有</w:t>
      </w:r>
      <w:r>
        <w:rPr>
          <w:rFonts w:hint="eastAsia" w:ascii="宋体" w:hAnsi="宋体" w:eastAsia="宋体" w:cs="宋体"/>
          <w:color w:val="000000" w:themeColor="text1"/>
          <w:sz w:val="24"/>
          <w:szCs w:val="24"/>
          <w:highlight w:val="none"/>
          <w:lang w:val="en-US" w:eastAsia="zh-CN"/>
          <w14:textFill>
            <w14:solidFill>
              <w14:schemeClr w14:val="tx1"/>
            </w14:solidFill>
          </w14:textFill>
        </w:rPr>
        <w:t>行政主管部门核发的</w:t>
      </w:r>
      <w:r>
        <w:rPr>
          <w:rFonts w:hint="eastAsia" w:ascii="宋体" w:hAnsi="宋体" w:cs="宋体"/>
          <w:color w:val="000000" w:themeColor="text1"/>
          <w:sz w:val="24"/>
          <w:szCs w:val="24"/>
          <w:highlight w:val="none"/>
          <w:lang w:val="en-US" w:eastAsia="zh-CN"/>
          <w14:textFill>
            <w14:solidFill>
              <w14:schemeClr w14:val="tx1"/>
            </w14:solidFill>
          </w14:textFill>
        </w:rPr>
        <w:t>市政</w:t>
      </w:r>
      <w:r>
        <w:rPr>
          <w:rFonts w:hint="eastAsia" w:ascii="宋体" w:hAnsi="宋体" w:eastAsia="宋体" w:cs="宋体"/>
          <w:color w:val="000000" w:themeColor="text1"/>
          <w:sz w:val="24"/>
          <w:szCs w:val="24"/>
          <w:highlight w:val="none"/>
          <w:lang w:val="en-US" w:eastAsia="zh-CN"/>
          <w14:textFill>
            <w14:solidFill>
              <w14:schemeClr w14:val="tx1"/>
            </w14:solidFill>
          </w14:textFill>
        </w:rPr>
        <w:t>工程施工总承包三级及以上资质</w:t>
      </w:r>
      <w:r>
        <w:rPr>
          <w:rFonts w:hint="eastAsia" w:ascii="宋体" w:hAnsi="宋体" w:cs="宋体"/>
          <w:color w:val="000000" w:themeColor="text1"/>
          <w:sz w:val="24"/>
          <w:szCs w:val="24"/>
          <w:highlight w:val="none"/>
          <w:lang w:val="en-US" w:eastAsia="zh-CN"/>
          <w14:textFill>
            <w14:solidFill>
              <w14:schemeClr w14:val="tx1"/>
            </w14:solidFill>
          </w14:textFill>
        </w:rPr>
        <w:t>并取得有效的安全生产许可证的独立法人，需在人员、设备、资金等方面具有相应的施工能力。且投标当日至本工程中标候选人公示期满上述资质动态核查均处于合格状态。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2、项目负责人资格类别和等级：具有有效的</w:t>
      </w:r>
      <w:r>
        <w:rPr>
          <w:rFonts w:hint="eastAsia" w:ascii="宋体" w:hAnsi="宋体" w:cs="宋体"/>
          <w:color w:val="000000" w:themeColor="text1"/>
          <w:sz w:val="24"/>
          <w:szCs w:val="24"/>
          <w:highlight w:val="none"/>
          <w:lang w:val="en-US" w:eastAsia="zh-CN"/>
          <w14:textFill>
            <w14:solidFill>
              <w14:schemeClr w14:val="tx1"/>
            </w14:solidFill>
          </w14:textFill>
        </w:rPr>
        <w:t>市政</w:t>
      </w:r>
      <w:r>
        <w:rPr>
          <w:rFonts w:ascii="宋体" w:hAnsi="宋体" w:eastAsia="宋体" w:cs="宋体"/>
          <w:color w:val="000000" w:themeColor="text1"/>
          <w:sz w:val="24"/>
          <w:szCs w:val="24"/>
          <w:highlight w:val="none"/>
          <w14:textFill>
            <w14:solidFill>
              <w14:schemeClr w14:val="tx1"/>
            </w14:solidFill>
          </w14:textFill>
        </w:rPr>
        <w:t>工程二级及以上注册建造师资格，同时具有安全生产考核合格证（B类）。</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p>
    <w:p w14:paraId="4F1A456A">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4、本次招标不接受联合体投标。</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5、信誉要求：投标人没有被国家、江苏省省级有关部门及盐城市市级有关部门和响水县县级有关部门暂停招投标或市场准入资格且在暂停期内。</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投标人存在失信被执行人信息的，按《关于在公共资源交易领域的招标投标活动中建立对失信被执行人联合惩戒机制的实施意见》（苏信用办（2018）23号）文件精神执行。</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投标人有违反上述条件之一的，资格审查不予通过。</w:t>
      </w:r>
    </w:p>
    <w:p w14:paraId="3F6A69DE">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四、资格审查方式</w:t>
      </w:r>
    </w:p>
    <w:p w14:paraId="3B886C9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本项目采用资格后审、全数入围的方法确定合格的投标人。资格审查的具体要求见招标文件。资格后审不合格的投标人投标文件将按无效标书处理。</w:t>
      </w:r>
    </w:p>
    <w:p w14:paraId="63CCFB0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五、评标办法</w:t>
      </w:r>
    </w:p>
    <w:p w14:paraId="725DCF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本工程评标办法采用“</w:t>
      </w:r>
      <w:r>
        <w:rPr>
          <w:rFonts w:hint="eastAsia" w:ascii="宋体" w:hAnsi="宋体" w:cs="宋体"/>
          <w:color w:val="000000" w:themeColor="text1"/>
          <w:sz w:val="24"/>
          <w:highlight w:val="none"/>
          <w:lang w:eastAsia="zh-CN"/>
          <w14:textFill>
            <w14:solidFill>
              <w14:schemeClr w14:val="tx1"/>
            </w14:solidFill>
          </w14:textFill>
        </w:rPr>
        <w:t>合理低价法</w:t>
      </w:r>
      <w:r>
        <w:rPr>
          <w:rFonts w:hint="eastAsia" w:ascii="宋体" w:hAnsi="宋体" w:cs="宋体"/>
          <w:color w:val="000000" w:themeColor="text1"/>
          <w:sz w:val="24"/>
          <w:highlight w:val="none"/>
          <w14:textFill>
            <w14:solidFill>
              <w14:schemeClr w14:val="tx1"/>
            </w14:solidFill>
          </w14:textFill>
        </w:rPr>
        <w:t>”。</w:t>
      </w:r>
    </w:p>
    <w:p w14:paraId="13BD4805">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六、本工程严禁挂靠、转包，一经核实挂靠、转包的，将被取消投标、中标资格，并按相关规定进行处罚，直至建议有关部门吊销资质证书。</w:t>
      </w:r>
    </w:p>
    <w:p w14:paraId="01268F2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七、报名方式</w:t>
      </w:r>
    </w:p>
    <w:p w14:paraId="1A2C91EB">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shd w:val="clear"/>
          <w:lang w:val="en-US" w:eastAsia="zh-CN"/>
          <w14:textFill>
            <w14:solidFill>
              <w14:schemeClr w14:val="tx1"/>
            </w14:solidFill>
          </w14:textFill>
        </w:rPr>
        <w:t>1、凡有意参加投标者，请于2026年04月09日起至2026年04月15日下午17点30分</w:t>
      </w:r>
      <w:r>
        <w:rPr>
          <w:rFonts w:hint="eastAsia" w:ascii="宋体" w:hAnsi="宋体"/>
          <w:color w:val="000000" w:themeColor="text1"/>
          <w:sz w:val="24"/>
          <w:highlight w:val="none"/>
          <w:lang w:val="en-US" w:eastAsia="zh-CN"/>
          <w14:textFill>
            <w14:solidFill>
              <w14:schemeClr w14:val="tx1"/>
            </w14:solidFill>
          </w14:textFill>
        </w:rPr>
        <w:t>在江苏省农村产权交易信息服务平台线上报名（网址：http://app3.jsnc.gov.cn:8080/nccqjy/member/login.do）投标报名材料需上传至附件里。（投标人实名备案网址http://app3.jsnc.gov.cn:8080/nccqjy/member/login.do）</w:t>
      </w:r>
    </w:p>
    <w:p w14:paraId="017CD0B7">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未备案的投标人先至当地农村产权交易中心进行公司备案。</w:t>
      </w:r>
    </w:p>
    <w:p w14:paraId="4A33DAAD">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2、线上报名成功的投标人请发送报名资料至微信13912540152（添加时备注公司名称）登记转发招标文件，或直接在江苏省农村产权交易信息服务平台“信息公开”栏查找本项目进入“附件信息”栏下载。</w:t>
      </w:r>
    </w:p>
    <w:p w14:paraId="1EBEA588">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val="en-US"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报名时需提供以下资料：</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（1）单位介绍信或授权委托书（单位介绍信或授权委托书应注明联系人电话，电话号码错误或无法联系的责任由投标人自负）；</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（2）经办人有效二代身份证；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（3）企业营业执照；</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（4）企业资质证书副本；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（5）安全生产许可证副本；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（6）项目负责人建造师证书；</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（7）项目负责人安全生产考核合格证；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（8）投标人必须保证授权委托人（如果有）、项目负责人为本单位的正式职工，投标时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（9）企业基本开户许可证或企业银行基本存款账户开户基本信息</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（以上证件核验为复印件盖公章）</w:t>
      </w:r>
    </w:p>
    <w:p w14:paraId="5D6924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八、提交文件截止时间、开标时间和地点</w:t>
      </w:r>
    </w:p>
    <w:p w14:paraId="334B561A">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提交文件截止时间：</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lang w:val="en-US" w:eastAsia="zh-CN"/>
          <w14:textFill>
            <w14:solidFill>
              <w14:schemeClr w14:val="tx1"/>
            </w14:solidFill>
          </w14:textFill>
        </w:rPr>
        <w:t>04</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lang w:val="en-US" w:eastAsia="zh-CN"/>
          <w14:textFill>
            <w14:solidFill>
              <w14:schemeClr w14:val="tx1"/>
            </w14:solidFill>
          </w14:textFill>
        </w:rPr>
        <w:t>21</w:t>
      </w:r>
      <w:r>
        <w:rPr>
          <w:rFonts w:hint="eastAsia" w:ascii="宋体" w:hAnsi="宋体" w:cs="宋体"/>
          <w:bCs/>
          <w:color w:val="000000" w:themeColor="text1"/>
          <w:sz w:val="24"/>
          <w:highlight w:val="none"/>
          <w14:textFill>
            <w14:solidFill>
              <w14:schemeClr w14:val="tx1"/>
            </w14:solidFill>
          </w14:textFill>
        </w:rPr>
        <w:t>日</w:t>
      </w:r>
      <w:r>
        <w:rPr>
          <w:rFonts w:hint="eastAsia" w:ascii="宋体" w:hAnsi="宋体" w:cs="宋体"/>
          <w:bCs/>
          <w:color w:val="000000" w:themeColor="text1"/>
          <w:sz w:val="24"/>
          <w:highlight w:val="none"/>
          <w:lang w:val="en-US" w:eastAsia="zh-CN"/>
          <w14:textFill>
            <w14:solidFill>
              <w14:schemeClr w14:val="tx1"/>
            </w14:solidFill>
          </w14:textFill>
        </w:rPr>
        <w:t>09</w:t>
      </w:r>
      <w:r>
        <w:rPr>
          <w:rFonts w:hint="eastAsia" w:ascii="宋体" w:hAnsi="宋体" w:cs="宋体"/>
          <w:bCs/>
          <w:color w:val="000000" w:themeColor="text1"/>
          <w:sz w:val="24"/>
          <w:highlight w:val="none"/>
          <w14:textFill>
            <w14:solidFill>
              <w14:schemeClr w14:val="tx1"/>
            </w14:solidFill>
          </w14:textFill>
        </w:rPr>
        <w:t>点</w:t>
      </w:r>
      <w:r>
        <w:rPr>
          <w:rFonts w:hint="eastAsia" w:ascii="宋体" w:hAnsi="宋体" w:cs="宋体"/>
          <w:bCs/>
          <w:color w:val="000000" w:themeColor="text1"/>
          <w:sz w:val="24"/>
          <w:highlight w:val="none"/>
          <w:lang w:val="en-US" w:eastAsia="zh-CN"/>
          <w14:textFill>
            <w14:solidFill>
              <w14:schemeClr w14:val="tx1"/>
            </w14:solidFill>
          </w14:textFill>
        </w:rPr>
        <w:t>30</w:t>
      </w:r>
      <w:r>
        <w:rPr>
          <w:rFonts w:hint="eastAsia" w:ascii="宋体" w:hAnsi="宋体" w:cs="宋体"/>
          <w:bCs/>
          <w:color w:val="000000" w:themeColor="text1"/>
          <w:sz w:val="24"/>
          <w:highlight w:val="none"/>
          <w14:textFill>
            <w14:solidFill>
              <w14:schemeClr w14:val="tx1"/>
            </w14:solidFill>
          </w14:textFill>
        </w:rPr>
        <w:t>分（北京时间）</w:t>
      </w:r>
    </w:p>
    <w:p w14:paraId="629053C6">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上传加密的投标文件至</w:t>
      </w:r>
      <w:r>
        <w:rPr>
          <w:rFonts w:hint="eastAsia" w:ascii="宋体" w:hAnsi="宋体" w:cs="宋体"/>
          <w:i w:val="0"/>
          <w:iCs w:val="0"/>
          <w:caps w:val="0"/>
          <w:color w:val="000000" w:themeColor="text1"/>
          <w:spacing w:val="0"/>
          <w:sz w:val="24"/>
          <w:szCs w:val="24"/>
          <w:highlight w:val="none"/>
          <w:shd w:val="clear" w:color="auto" w:fill="FFFFFF"/>
          <w:lang w:val="en-US" w:eastAsia="zh-CN"/>
          <w14:textFill>
            <w14:solidFill>
              <w14:schemeClr w14:val="tx1"/>
            </w14:solidFill>
          </w14:textFill>
        </w:rPr>
        <w:t>招标人</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指定邮箱</w:t>
      </w:r>
      <w:r>
        <w:rPr>
          <w:rFonts w:hint="eastAsia" w:asciiTheme="minorEastAsia" w:hAnsiTheme="minorEastAsia" w:eastAsiaTheme="minorEastAsia"/>
          <w:b/>
          <w:bCs/>
          <w:color w:val="000000" w:themeColor="text1"/>
          <w:kern w:val="2"/>
          <w:sz w:val="24"/>
          <w:highlight w:val="none"/>
          <w:u w:val="single"/>
          <w:lang w:val="en-US" w:eastAsia="zh-CN"/>
          <w14:textFill>
            <w14:solidFill>
              <w14:schemeClr w14:val="tx1"/>
            </w14:solidFill>
          </w14:textFill>
        </w:rPr>
        <w:t>357164755</w:t>
      </w:r>
      <w:r>
        <w:rPr>
          <w:rFonts w:hint="eastAsia" w:ascii="宋体" w:hAnsi="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qq.com</w:t>
      </w:r>
      <w:r>
        <w:rPr>
          <w:rFonts w:hint="eastAsia" w:ascii="宋体" w:hAnsi="宋体" w:eastAsia="宋体" w:cs="宋体"/>
          <w:color w:val="000000" w:themeColor="text1"/>
          <w:sz w:val="24"/>
          <w:highlight w:val="none"/>
          <w:lang w:eastAsia="zh-CN"/>
          <w14:textFill>
            <w14:solidFill>
              <w14:schemeClr w14:val="tx1"/>
            </w14:solidFill>
          </w14:textFill>
        </w:rPr>
        <w:t>。</w:t>
      </w:r>
    </w:p>
    <w:p w14:paraId="4E3E62A5">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color w:val="000000" w:themeColor="text1"/>
          <w:sz w:val="24"/>
          <w:highlight w:val="none"/>
          <w:u w:val="single" w:color="000000"/>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开标时间</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lang w:val="en-US" w:eastAsia="zh-CN"/>
          <w14:textFill>
            <w14:solidFill>
              <w14:schemeClr w14:val="tx1"/>
            </w14:solidFill>
          </w14:textFill>
        </w:rPr>
        <w:t>04</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lang w:val="en-US" w:eastAsia="zh-CN"/>
          <w14:textFill>
            <w14:solidFill>
              <w14:schemeClr w14:val="tx1"/>
            </w14:solidFill>
          </w14:textFill>
        </w:rPr>
        <w:t>21</w:t>
      </w:r>
      <w:r>
        <w:rPr>
          <w:rFonts w:hint="eastAsia" w:ascii="宋体" w:hAnsi="宋体" w:cs="宋体"/>
          <w:bCs/>
          <w:color w:val="000000" w:themeColor="text1"/>
          <w:sz w:val="24"/>
          <w:highlight w:val="none"/>
          <w14:textFill>
            <w14:solidFill>
              <w14:schemeClr w14:val="tx1"/>
            </w14:solidFill>
          </w14:textFill>
        </w:rPr>
        <w:t>日</w:t>
      </w:r>
      <w:r>
        <w:rPr>
          <w:rFonts w:hint="eastAsia" w:ascii="宋体" w:hAnsi="宋体" w:cs="宋体"/>
          <w:bCs/>
          <w:color w:val="000000" w:themeColor="text1"/>
          <w:sz w:val="24"/>
          <w:highlight w:val="none"/>
          <w:lang w:val="en-US" w:eastAsia="zh-CN"/>
          <w14:textFill>
            <w14:solidFill>
              <w14:schemeClr w14:val="tx1"/>
            </w14:solidFill>
          </w14:textFill>
        </w:rPr>
        <w:t>09</w:t>
      </w:r>
      <w:r>
        <w:rPr>
          <w:rFonts w:hint="eastAsia" w:ascii="宋体" w:hAnsi="宋体" w:cs="宋体"/>
          <w:bCs/>
          <w:color w:val="000000" w:themeColor="text1"/>
          <w:sz w:val="24"/>
          <w:highlight w:val="none"/>
          <w14:textFill>
            <w14:solidFill>
              <w14:schemeClr w14:val="tx1"/>
            </w14:solidFill>
          </w14:textFill>
        </w:rPr>
        <w:t>点</w:t>
      </w:r>
      <w:r>
        <w:rPr>
          <w:rFonts w:hint="eastAsia" w:ascii="宋体" w:hAnsi="宋体" w:cs="宋体"/>
          <w:bCs/>
          <w:color w:val="000000" w:themeColor="text1"/>
          <w:sz w:val="24"/>
          <w:highlight w:val="none"/>
          <w:lang w:val="en-US" w:eastAsia="zh-CN"/>
          <w14:textFill>
            <w14:solidFill>
              <w14:schemeClr w14:val="tx1"/>
            </w14:solidFill>
          </w14:textFill>
        </w:rPr>
        <w:t>30</w:t>
      </w:r>
      <w:r>
        <w:rPr>
          <w:rFonts w:hint="eastAsia" w:ascii="宋体" w:hAnsi="宋体" w:cs="宋体"/>
          <w:bCs/>
          <w:color w:val="000000" w:themeColor="text1"/>
          <w:sz w:val="24"/>
          <w:highlight w:val="none"/>
          <w14:textFill>
            <w14:solidFill>
              <w14:schemeClr w14:val="tx1"/>
            </w14:solidFill>
          </w14:textFill>
        </w:rPr>
        <w:t>分（北京时间）</w:t>
      </w:r>
    </w:p>
    <w:p w14:paraId="7D1963E1">
      <w:pPr>
        <w:keepNext w:val="0"/>
        <w:keepLines w:val="0"/>
        <w:pageBreakBefore w:val="0"/>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开标</w:t>
      </w:r>
      <w:r>
        <w:rPr>
          <w:rFonts w:hint="eastAsia" w:ascii="宋体" w:hAnsi="宋体" w:cs="宋体"/>
          <w:color w:val="000000" w:themeColor="text1"/>
          <w:sz w:val="24"/>
          <w:highlight w:val="none"/>
          <w14:textFill>
            <w14:solidFill>
              <w14:schemeClr w14:val="tx1"/>
            </w14:solidFill>
          </w14:textFill>
        </w:rPr>
        <w:t>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响水县农村产权交易中心（响水县和谐路金港家园东大门南侧二楼）。</w:t>
      </w:r>
    </w:p>
    <w:p w14:paraId="51D049F3">
      <w:pPr>
        <w:keepNext w:val="0"/>
        <w:keepLines w:val="0"/>
        <w:pageBreakBefore w:val="0"/>
        <w:kinsoku/>
        <w:wordWrap/>
        <w:overflowPunct/>
        <w:topLinePunct w:val="0"/>
        <w:autoSpaceDE/>
        <w:autoSpaceDN/>
        <w:bidi w:val="0"/>
        <w:adjustRightInd/>
        <w:snapToGrid/>
        <w:spacing w:line="400" w:lineRule="exact"/>
        <w:ind w:firstLine="480" w:firstLineChars="200"/>
        <w:textAlignment w:val="baseline"/>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b/>
          <w:bCs/>
          <w:color w:val="000000" w:themeColor="text1"/>
          <w:sz w:val="24"/>
          <w:highlight w:val="none"/>
          <w:u w:val="single"/>
          <w:lang w:val="en-US" w:eastAsia="zh-CN"/>
          <w14:textFill>
            <w14:solidFill>
              <w14:schemeClr w14:val="tx1"/>
            </w14:solidFill>
          </w14:textFill>
        </w:rPr>
        <w:t>9226296879</w:t>
      </w:r>
      <w:r>
        <w:rPr>
          <w:rFonts w:hint="eastAsia" w:ascii="宋体" w:hAnsi="宋体" w:cs="宋体"/>
          <w:color w:val="000000" w:themeColor="text1"/>
          <w:sz w:val="24"/>
          <w:highlight w:val="none"/>
          <w14:textFill>
            <w14:solidFill>
              <w14:schemeClr w14:val="tx1"/>
            </w14:solidFill>
          </w14:textFill>
        </w:rPr>
        <w:t>。</w:t>
      </w:r>
    </w:p>
    <w:p w14:paraId="0B01A9D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400" w:lineRule="exact"/>
        <w:ind w:left="0" w:right="0" w:firstLine="420"/>
        <w:textAlignment w:val="baseline"/>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15587ED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各投标人在投标截止时间前应当每天都在响水县农村产权交易中心网站（http://xsx.jsnc.gov.cn</w:t>
      </w:r>
      <w:r>
        <w:rPr>
          <w:rFonts w:hint="eastAsia" w:ascii="宋体" w:hAnsi="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相关栏目上查询，以便获取更新的澄清、修改、补充内容。凡涉及到该项目的补充说明和修改，均以响水县农村产权交易中心网上的更正或补充通知为准。</w:t>
      </w:r>
    </w:p>
    <w:p w14:paraId="4E15844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九、投标保证金</w:t>
      </w:r>
    </w:p>
    <w:p w14:paraId="1D6C5D4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w:t>
      </w:r>
      <w:r>
        <w:rPr>
          <w:rFonts w:hint="eastAsia" w:ascii="宋体" w:hAnsi="宋体" w:cs="宋体"/>
          <w:color w:val="000000" w:themeColor="text1"/>
          <w:sz w:val="24"/>
          <w:highlight w:val="none"/>
          <w:lang w:val="en-US" w:eastAsia="zh-CN"/>
          <w14:textFill>
            <w14:solidFill>
              <w14:schemeClr w14:val="tx1"/>
            </w14:solidFill>
          </w14:textFill>
        </w:rPr>
        <w:t>项目</w:t>
      </w:r>
      <w:r>
        <w:rPr>
          <w:rFonts w:hint="eastAsia" w:ascii="宋体" w:hAnsi="宋体" w:cs="宋体"/>
          <w:color w:val="000000" w:themeColor="text1"/>
          <w:sz w:val="24"/>
          <w:highlight w:val="none"/>
          <w14:textFill>
            <w14:solidFill>
              <w14:schemeClr w14:val="tx1"/>
            </w14:solidFill>
          </w14:textFill>
        </w:rPr>
        <w:t>投标保证金数额为人民币</w:t>
      </w:r>
      <w:r>
        <w:rPr>
          <w:rFonts w:hint="eastAsia" w:ascii="宋体" w:hAnsi="宋体" w:cs="宋体"/>
          <w:b/>
          <w:bCs/>
          <w:color w:val="000000" w:themeColor="text1"/>
          <w:sz w:val="24"/>
          <w:highlight w:val="none"/>
          <w:lang w:val="en-US" w:eastAsia="zh-CN"/>
          <w14:textFill>
            <w14:solidFill>
              <w14:schemeClr w14:val="tx1"/>
            </w14:solidFill>
          </w14:textFill>
        </w:rPr>
        <w:t>壹万元整</w:t>
      </w:r>
      <w:r>
        <w:rPr>
          <w:rFonts w:hint="eastAsia" w:ascii="宋体" w:hAnsi="宋体" w:cs="宋体"/>
          <w:color w:val="000000" w:themeColor="text1"/>
          <w:sz w:val="24"/>
          <w:highlight w:val="none"/>
          <w14:textFill>
            <w14:solidFill>
              <w14:schemeClr w14:val="tx1"/>
            </w14:solidFill>
          </w14:textFill>
        </w:rPr>
        <w:t>。</w:t>
      </w:r>
    </w:p>
    <w:p w14:paraId="37B1EA7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4A56E0C9">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开户名称：响水县农村产权交易服务中心</w:t>
      </w:r>
    </w:p>
    <w:p w14:paraId="42C5994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 户 行：江苏银行响水支行</w:t>
      </w:r>
    </w:p>
    <w:p w14:paraId="5B744FD7">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十、联系方式</w:t>
      </w:r>
    </w:p>
    <w:p w14:paraId="0F8E27D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招标人：江苏省盐城市响水县大有镇淮河村村民委员会</w:t>
      </w:r>
    </w:p>
    <w:p w14:paraId="3E03A6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地址：江苏省盐城市响水县大有镇淮河村村民委员会</w:t>
      </w:r>
    </w:p>
    <w:p w14:paraId="54D64F8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 xml:space="preserve">顾会计     </w:t>
      </w:r>
      <w:r>
        <w:rPr>
          <w:rFonts w:hint="eastAsia" w:ascii="宋体" w:hAnsi="宋体"/>
          <w:color w:val="000000" w:themeColor="text1"/>
          <w:sz w:val="24"/>
          <w:highlight w:val="none"/>
          <w14:textFill>
            <w14:solidFill>
              <w14:schemeClr w14:val="tx1"/>
            </w14:solidFill>
          </w14:textFill>
        </w:rPr>
        <w:t xml:space="preserve"> 电话：</w:t>
      </w:r>
      <w:r>
        <w:rPr>
          <w:rFonts w:hint="eastAsia" w:ascii="宋体" w:hAnsi="宋体"/>
          <w:color w:val="000000" w:themeColor="text1"/>
          <w:sz w:val="24"/>
          <w:highlight w:val="none"/>
          <w:lang w:eastAsia="zh-CN"/>
          <w14:textFill>
            <w14:solidFill>
              <w14:schemeClr w14:val="tx1"/>
            </w14:solidFill>
          </w14:textFill>
        </w:rPr>
        <w:t>15205117333</w:t>
      </w:r>
    </w:p>
    <w:p w14:paraId="4AF81B4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b w:val="0"/>
          <w:bCs w:val="0"/>
          <w:color w:val="000000" w:themeColor="text1"/>
          <w:sz w:val="24"/>
          <w:highlight w:val="none"/>
          <w:lang w:eastAsia="zh-CN"/>
          <w14:textFill>
            <w14:solidFill>
              <w14:schemeClr w14:val="tx1"/>
            </w14:solidFill>
          </w14:textFill>
        </w:rPr>
      </w:pPr>
      <w:r>
        <w:rPr>
          <w:rFonts w:hint="eastAsia" w:ascii="宋体" w:hAnsi="宋体"/>
          <w:b w:val="0"/>
          <w:bCs w:val="0"/>
          <w:color w:val="000000" w:themeColor="text1"/>
          <w:sz w:val="24"/>
          <w:highlight w:val="none"/>
          <w14:textFill>
            <w14:solidFill>
              <w14:schemeClr w14:val="tx1"/>
            </w14:solidFill>
          </w14:textFill>
        </w:rPr>
        <w:t>招标代理机构：</w:t>
      </w:r>
      <w:r>
        <w:rPr>
          <w:rFonts w:hint="eastAsia" w:ascii="宋体" w:hAnsi="宋体"/>
          <w:b w:val="0"/>
          <w:bCs w:val="0"/>
          <w:color w:val="000000" w:themeColor="text1"/>
          <w:sz w:val="24"/>
          <w:highlight w:val="none"/>
          <w:lang w:eastAsia="zh-CN"/>
          <w14:textFill>
            <w14:solidFill>
              <w14:schemeClr w14:val="tx1"/>
            </w14:solidFill>
          </w14:textFill>
        </w:rPr>
        <w:t>江苏远方工程项目管理有限公司</w:t>
      </w:r>
    </w:p>
    <w:p w14:paraId="6E40F0A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响水县滨河现代城商业105-205号</w:t>
      </w:r>
    </w:p>
    <w:p w14:paraId="4AD0AC47">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何工</w:t>
      </w:r>
      <w:r>
        <w:rPr>
          <w:rFonts w:hint="eastAsia"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电话：</w:t>
      </w:r>
      <w:r>
        <w:rPr>
          <w:rFonts w:hint="eastAsia" w:ascii="宋体" w:hAnsi="宋体" w:cs="宋体"/>
          <w:color w:val="000000" w:themeColor="text1"/>
          <w:sz w:val="24"/>
          <w:highlight w:val="none"/>
          <w:lang w:val="en-US" w:eastAsia="zh-CN"/>
          <w14:textFill>
            <w14:solidFill>
              <w14:schemeClr w14:val="tx1"/>
            </w14:solidFill>
          </w14:textFill>
        </w:rPr>
        <w:t>13912540152</w:t>
      </w:r>
    </w:p>
    <w:p w14:paraId="78F578CA">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lang w:val="en-US" w:eastAsia="zh-CN"/>
          <w14:textFill>
            <w14:solidFill>
              <w14:schemeClr w14:val="tx1"/>
            </w14:solidFill>
          </w14:textFill>
        </w:rPr>
      </w:pPr>
    </w:p>
    <w:p w14:paraId="3C2C013B">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江苏省盐城市响水县大有镇淮河村村民委员会</w:t>
      </w:r>
    </w:p>
    <w:p w14:paraId="15F84F01">
      <w:pPr>
        <w:keepNext w:val="0"/>
        <w:keepLines w:val="0"/>
        <w:pageBreakBefore w:val="0"/>
        <w:shd w:val="clear"/>
        <w:kinsoku/>
        <w:wordWrap/>
        <w:overflowPunct/>
        <w:topLinePunct w:val="0"/>
        <w:autoSpaceDE/>
        <w:autoSpaceDN/>
        <w:bidi w:val="0"/>
        <w:adjustRightInd/>
        <w:snapToGrid/>
        <w:spacing w:line="400" w:lineRule="exact"/>
        <w:jc w:val="both"/>
        <w:rPr>
          <w:rFonts w:hint="eastAsia" w:ascii="宋体" w:hAnsi="宋体"/>
          <w:color w:val="000000" w:themeColor="text1"/>
          <w:sz w:val="24"/>
          <w:highlight w:val="none"/>
          <w14:textFill>
            <w14:solidFill>
              <w14:schemeClr w14:val="tx1"/>
            </w14:solidFill>
          </w14:textFill>
        </w:rPr>
      </w:pPr>
    </w:p>
    <w:p w14:paraId="61ACACB3">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2026</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lang w:val="en-US" w:eastAsia="zh-CN"/>
          <w14:textFill>
            <w14:solidFill>
              <w14:schemeClr w14:val="tx1"/>
            </w14:solidFill>
          </w14:textFill>
        </w:rPr>
        <w:t>04</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lang w:val="en-US" w:eastAsia="zh-CN"/>
          <w14:textFill>
            <w14:solidFill>
              <w14:schemeClr w14:val="tx1"/>
            </w14:solidFill>
          </w14:textFill>
        </w:rPr>
        <w:t>08</w:t>
      </w:r>
      <w:r>
        <w:rPr>
          <w:rFonts w:hint="eastAsia" w:ascii="宋体" w:hAnsi="宋体"/>
          <w:color w:val="000000" w:themeColor="text1"/>
          <w:sz w:val="24"/>
          <w:highlight w:val="none"/>
          <w14:textFill>
            <w14:solidFill>
              <w14:schemeClr w14:val="tx1"/>
            </w14:solidFill>
          </w14:textFill>
        </w:rPr>
        <w:t>日</w:t>
      </w:r>
    </w:p>
    <w:p w14:paraId="07ECFDAD">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p>
    <w:p w14:paraId="02121D0A">
      <w:pPr>
        <w:rPr>
          <w:rFonts w:hint="eastAsia" w:ascii="宋体" w:hAnsi="宋体" w:eastAsia="仿宋_GB2312"/>
          <w:color w:val="000000" w:themeColor="text1"/>
          <w:sz w:val="24"/>
          <w:highlight w:val="none"/>
          <w:lang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br w:type="page"/>
      </w:r>
    </w:p>
    <w:p w14:paraId="4DDBB3A1">
      <w:pPr>
        <w:numPr>
          <w:ilvl w:val="0"/>
          <w:numId w:val="1"/>
        </w:num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 xml:space="preserve"> </w:t>
      </w:r>
      <w:bookmarkStart w:id="0" w:name="_Toc24829"/>
      <w:r>
        <w:rPr>
          <w:rFonts w:hint="eastAsia" w:ascii="宋体" w:hAnsi="宋体"/>
          <w:b/>
          <w:color w:val="000000" w:themeColor="text1"/>
          <w:sz w:val="32"/>
          <w:szCs w:val="32"/>
          <w:highlight w:val="none"/>
          <w14:textFill>
            <w14:solidFill>
              <w14:schemeClr w14:val="tx1"/>
            </w14:solidFill>
          </w14:textFill>
        </w:rPr>
        <w:t>投标人须知</w:t>
      </w:r>
      <w:bookmarkEnd w:id="0"/>
    </w:p>
    <w:p w14:paraId="66ABB675">
      <w:pPr>
        <w:spacing w:before="60" w:beforeLines="25" w:after="60" w:afterLines="25"/>
        <w:jc w:val="center"/>
        <w:outlineLvl w:val="0"/>
        <w:rPr>
          <w:rFonts w:ascii="宋体" w:hAnsi="宋体"/>
          <w:b/>
          <w:color w:val="000000" w:themeColor="text1"/>
          <w:sz w:val="28"/>
          <w:szCs w:val="28"/>
          <w:highlight w:val="none"/>
          <w14:textFill>
            <w14:solidFill>
              <w14:schemeClr w14:val="tx1"/>
            </w14:solidFill>
          </w14:textFill>
        </w:rPr>
      </w:pPr>
      <w:bookmarkStart w:id="1" w:name="_Toc18059"/>
      <w:r>
        <w:rPr>
          <w:rFonts w:hint="eastAsia" w:ascii="宋体" w:hAnsi="宋体"/>
          <w:b/>
          <w:color w:val="000000" w:themeColor="text1"/>
          <w:sz w:val="28"/>
          <w:szCs w:val="28"/>
          <w:highlight w:val="none"/>
          <w14:textFill>
            <w14:solidFill>
              <w14:schemeClr w14:val="tx1"/>
            </w14:solidFill>
          </w14:textFill>
        </w:rPr>
        <w:t>投标人须知前附表</w:t>
      </w:r>
      <w:bookmarkEnd w:id="1"/>
    </w:p>
    <w:tbl>
      <w:tblPr>
        <w:tblStyle w:val="16"/>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w:t>
            </w:r>
          </w:p>
        </w:tc>
        <w:tc>
          <w:tcPr>
            <w:tcW w:w="3243" w:type="dxa"/>
            <w:noWrap w:val="0"/>
            <w:vAlign w:val="center"/>
          </w:tcPr>
          <w:p w14:paraId="0234AE8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w:t>
            </w:r>
          </w:p>
        </w:tc>
        <w:tc>
          <w:tcPr>
            <w:tcW w:w="4968" w:type="dxa"/>
            <w:noWrap w:val="0"/>
            <w:vAlign w:val="center"/>
          </w:tcPr>
          <w:p w14:paraId="14A3C0BC">
            <w:pPr>
              <w:spacing w:line="500" w:lineRule="exact"/>
              <w:jc w:val="lef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w:t>
            </w:r>
            <w:r>
              <w:rPr>
                <w:rFonts w:hint="eastAsia" w:ascii="宋体" w:hAnsi="宋体"/>
                <w:color w:val="000000" w:themeColor="text1"/>
                <w:sz w:val="24"/>
                <w:szCs w:val="24"/>
                <w:highlight w:val="none"/>
                <w:lang w:eastAsia="zh-CN"/>
                <w14:textFill>
                  <w14:solidFill>
                    <w14:schemeClr w14:val="tx1"/>
                  </w14:solidFill>
                </w14:textFill>
              </w:rPr>
              <w:t>江苏省盐城市响水县大有镇淮河村村民委员会</w:t>
            </w:r>
          </w:p>
          <w:p w14:paraId="25A59883">
            <w:pPr>
              <w:spacing w:line="500" w:lineRule="exact"/>
              <w:jc w:val="left"/>
              <w:rPr>
                <w:rFonts w:hint="default" w:ascii="宋体" w:hAnsi="宋体"/>
                <w:color w:val="000000" w:themeColor="text1"/>
                <w:sz w:val="24"/>
                <w:szCs w:val="24"/>
                <w:highlight w:val="none"/>
                <w:lang w:val="en-US"/>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顾会计</w:t>
            </w:r>
          </w:p>
          <w:p w14:paraId="366AD61C">
            <w:pPr>
              <w:spacing w:line="500" w:lineRule="exact"/>
              <w:jc w:val="lef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电话：</w:t>
            </w:r>
            <w:r>
              <w:rPr>
                <w:rFonts w:hint="eastAsia" w:ascii="宋体" w:hAnsi="宋体"/>
                <w:color w:val="000000" w:themeColor="text1"/>
                <w:sz w:val="24"/>
                <w:highlight w:val="none"/>
                <w:lang w:val="en-US" w:eastAsia="zh-CN"/>
                <w14:textFill>
                  <w14:solidFill>
                    <w14:schemeClr w14:val="tx1"/>
                  </w14:solidFill>
                </w14:textFill>
              </w:rPr>
              <w:t>15205117333</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w:t>
            </w:r>
          </w:p>
        </w:tc>
        <w:tc>
          <w:tcPr>
            <w:tcW w:w="3243" w:type="dxa"/>
            <w:noWrap w:val="0"/>
            <w:vAlign w:val="center"/>
          </w:tcPr>
          <w:p w14:paraId="1D1D9C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招标代理机构</w:t>
            </w:r>
          </w:p>
        </w:tc>
        <w:tc>
          <w:tcPr>
            <w:tcW w:w="4968" w:type="dxa"/>
            <w:noWrap w:val="0"/>
            <w:vAlign w:val="center"/>
          </w:tcPr>
          <w:p w14:paraId="78740193">
            <w:pPr>
              <w:spacing w:line="500" w:lineRule="exact"/>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招标代理机构：</w:t>
            </w:r>
          </w:p>
          <w:p w14:paraId="65B27A8A">
            <w:pPr>
              <w:spacing w:line="500" w:lineRule="exac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江苏远方工程项目管理有限公司</w:t>
            </w:r>
          </w:p>
          <w:p w14:paraId="5DBEA9F6">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联系人：</w:t>
            </w:r>
            <w:r>
              <w:rPr>
                <w:rFonts w:hint="eastAsia" w:ascii="宋体" w:hAnsi="宋体"/>
                <w:color w:val="000000" w:themeColor="text1"/>
                <w:sz w:val="24"/>
                <w:szCs w:val="24"/>
                <w:highlight w:val="none"/>
                <w:lang w:val="en-US" w:eastAsia="zh-CN"/>
                <w14:textFill>
                  <w14:solidFill>
                    <w14:schemeClr w14:val="tx1"/>
                  </w14:solidFill>
                </w14:textFill>
              </w:rPr>
              <w:t>何工</w:t>
            </w:r>
            <w:r>
              <w:rPr>
                <w:rFonts w:hint="eastAsia" w:ascii="宋体" w:hAnsi="宋体"/>
                <w:color w:val="000000" w:themeColor="text1"/>
                <w:sz w:val="24"/>
                <w:szCs w:val="24"/>
                <w:highlight w:val="none"/>
                <w14:textFill>
                  <w14:solidFill>
                    <w14:schemeClr w14:val="tx1"/>
                  </w14:solidFill>
                </w14:textFill>
              </w:rPr>
              <w:t xml:space="preserve">   </w:t>
            </w:r>
          </w:p>
          <w:p w14:paraId="3F252517">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联系电话：</w:t>
            </w:r>
            <w:r>
              <w:rPr>
                <w:rFonts w:hint="eastAsia" w:ascii="宋体" w:hAnsi="宋体"/>
                <w:color w:val="000000" w:themeColor="text1"/>
                <w:sz w:val="24"/>
                <w:szCs w:val="24"/>
                <w:highlight w:val="none"/>
                <w:lang w:val="en-US" w:eastAsia="zh-CN"/>
                <w14:textFill>
                  <w14:solidFill>
                    <w14:schemeClr w14:val="tx1"/>
                  </w14:solidFill>
                </w14:textFill>
              </w:rPr>
              <w:t>13912540152</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w:t>
            </w:r>
          </w:p>
        </w:tc>
        <w:tc>
          <w:tcPr>
            <w:tcW w:w="3243" w:type="dxa"/>
            <w:noWrap w:val="0"/>
            <w:vAlign w:val="center"/>
          </w:tcPr>
          <w:p w14:paraId="7FBD844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招标项目及标段名称</w:t>
            </w:r>
          </w:p>
        </w:tc>
        <w:tc>
          <w:tcPr>
            <w:tcW w:w="4968" w:type="dxa"/>
            <w:noWrap w:val="0"/>
            <w:vAlign w:val="center"/>
          </w:tcPr>
          <w:p w14:paraId="45421F3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 xml:space="preserve">响水县2024年大有镇淮河村宜居宜业和美乡村新增建设项目 </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1.1.5</w:t>
            </w:r>
          </w:p>
        </w:tc>
        <w:tc>
          <w:tcPr>
            <w:tcW w:w="3243" w:type="dxa"/>
            <w:noWrap w:val="0"/>
            <w:vAlign w:val="center"/>
          </w:tcPr>
          <w:p w14:paraId="0FFEB56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建设地点</w:t>
            </w:r>
          </w:p>
        </w:tc>
        <w:tc>
          <w:tcPr>
            <w:tcW w:w="4968" w:type="dxa"/>
            <w:noWrap w:val="0"/>
            <w:vAlign w:val="center"/>
          </w:tcPr>
          <w:p w14:paraId="23AA1B9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w:t>
            </w:r>
          </w:p>
        </w:tc>
        <w:tc>
          <w:tcPr>
            <w:tcW w:w="3243" w:type="dxa"/>
            <w:noWrap w:val="0"/>
            <w:vAlign w:val="center"/>
          </w:tcPr>
          <w:p w14:paraId="7DC189E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财政资金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w:t>
            </w:r>
          </w:p>
        </w:tc>
        <w:tc>
          <w:tcPr>
            <w:tcW w:w="3243" w:type="dxa"/>
            <w:noWrap w:val="0"/>
            <w:vAlign w:val="center"/>
          </w:tcPr>
          <w:p w14:paraId="6D7E79C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出资比例</w:t>
            </w:r>
          </w:p>
        </w:tc>
        <w:tc>
          <w:tcPr>
            <w:tcW w:w="4968" w:type="dxa"/>
            <w:noWrap w:val="0"/>
            <w:vAlign w:val="center"/>
          </w:tcPr>
          <w:p w14:paraId="4AA6210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w:t>
            </w:r>
          </w:p>
        </w:tc>
        <w:tc>
          <w:tcPr>
            <w:tcW w:w="3243" w:type="dxa"/>
            <w:noWrap w:val="0"/>
            <w:vAlign w:val="center"/>
          </w:tcPr>
          <w:p w14:paraId="741A438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资金落实情况</w:t>
            </w:r>
          </w:p>
        </w:tc>
        <w:tc>
          <w:tcPr>
            <w:tcW w:w="4968" w:type="dxa"/>
            <w:noWrap w:val="0"/>
            <w:vAlign w:val="center"/>
          </w:tcPr>
          <w:p w14:paraId="0EBE654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exact"/>
          <w:jc w:val="center"/>
        </w:trPr>
        <w:tc>
          <w:tcPr>
            <w:tcW w:w="1025" w:type="dxa"/>
            <w:noWrap w:val="0"/>
            <w:vAlign w:val="center"/>
          </w:tcPr>
          <w:p w14:paraId="109949A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eastAsia="宋体" w:cs="宋体"/>
                <w:bCs/>
                <w:color w:val="000000" w:themeColor="text1"/>
                <w:sz w:val="24"/>
                <w:highlight w:val="none"/>
                <w:lang w:val="en-US" w:eastAsia="zh-CN"/>
                <w14:textFill>
                  <w14:solidFill>
                    <w14:schemeClr w14:val="tx1"/>
                  </w14:solidFill>
                </w14:textFill>
              </w:rPr>
              <w:t>工程款支付方式</w:t>
            </w:r>
          </w:p>
        </w:tc>
        <w:tc>
          <w:tcPr>
            <w:tcW w:w="4968" w:type="dxa"/>
            <w:noWrap w:val="0"/>
            <w:vAlign w:val="center"/>
          </w:tcPr>
          <w:p w14:paraId="2D95D8C0">
            <w:pPr>
              <w:shd w:val="clear"/>
              <w:spacing w:before="62" w:after="62" w:line="420" w:lineRule="exact"/>
              <w:textAlignment w:val="baseline"/>
              <w:rPr>
                <w:rFonts w:hint="default"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本项目无预付款，项目全部竣工并经验收合格后付至合同总价的50%。经审计验收合格后拨付至结算价的80%。余款质保期满无质量问题付清。</w:t>
            </w: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w:t>
            </w:r>
          </w:p>
        </w:tc>
        <w:tc>
          <w:tcPr>
            <w:tcW w:w="3243" w:type="dxa"/>
            <w:noWrap w:val="0"/>
            <w:vAlign w:val="center"/>
          </w:tcPr>
          <w:p w14:paraId="28BE3B9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招标范围</w:t>
            </w:r>
          </w:p>
        </w:tc>
        <w:tc>
          <w:tcPr>
            <w:tcW w:w="4968" w:type="dxa"/>
            <w:noWrap w:val="0"/>
            <w:vAlign w:val="center"/>
          </w:tcPr>
          <w:p w14:paraId="04791466">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响水县2024年大有镇淮河村宜居宜业和美乡村新增建设项目</w:t>
            </w:r>
            <w:r>
              <w:rPr>
                <w:rFonts w:hint="eastAsia" w:ascii="宋体" w:hAnsi="宋体" w:cs="宋体"/>
                <w:color w:val="000000" w:themeColor="text1"/>
                <w:sz w:val="24"/>
                <w:szCs w:val="24"/>
                <w:highlight w:val="none"/>
                <w:lang w:val="en-US" w:eastAsia="zh-CN"/>
                <w14:textFill>
                  <w14:solidFill>
                    <w14:schemeClr w14:val="tx1"/>
                  </w14:solidFill>
                </w14:textFill>
              </w:rPr>
              <w:t>的</w:t>
            </w:r>
            <w:r>
              <w:rPr>
                <w:rFonts w:hint="eastAsia" w:ascii="宋体" w:hAnsi="宋体" w:cs="宋体"/>
                <w:color w:val="000000" w:themeColor="text1"/>
                <w:sz w:val="24"/>
                <w:szCs w:val="24"/>
                <w:highlight w:val="none"/>
                <w14:textFill>
                  <w14:solidFill>
                    <w14:schemeClr w14:val="tx1"/>
                  </w14:solidFill>
                </w14:textFill>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w:t>
            </w:r>
          </w:p>
        </w:tc>
        <w:tc>
          <w:tcPr>
            <w:tcW w:w="3243" w:type="dxa"/>
            <w:noWrap w:val="0"/>
            <w:vAlign w:val="center"/>
          </w:tcPr>
          <w:p w14:paraId="1F615CF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计划工期</w:t>
            </w:r>
          </w:p>
        </w:tc>
        <w:tc>
          <w:tcPr>
            <w:tcW w:w="4968" w:type="dxa"/>
            <w:noWrap w:val="0"/>
            <w:vAlign w:val="top"/>
          </w:tcPr>
          <w:p w14:paraId="4E217EF9">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要求工期：</w:t>
            </w:r>
            <w:r>
              <w:rPr>
                <w:rFonts w:hint="eastAsia" w:ascii="宋体" w:hAnsi="宋体" w:cs="宋体"/>
                <w:color w:val="000000" w:themeColor="text1"/>
                <w:sz w:val="24"/>
                <w:szCs w:val="24"/>
                <w:highlight w:val="none"/>
                <w:lang w:val="en-US" w:eastAsia="zh-CN"/>
                <w14:textFill>
                  <w14:solidFill>
                    <w14:schemeClr w14:val="tx1"/>
                  </w14:solidFill>
                </w14:textFill>
              </w:rPr>
              <w:t>50日历天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w:t>
            </w:r>
          </w:p>
        </w:tc>
        <w:tc>
          <w:tcPr>
            <w:tcW w:w="3243" w:type="dxa"/>
            <w:noWrap w:val="0"/>
            <w:vAlign w:val="top"/>
          </w:tcPr>
          <w:p w14:paraId="0A73E0F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质量要求</w:t>
            </w:r>
          </w:p>
        </w:tc>
        <w:tc>
          <w:tcPr>
            <w:tcW w:w="4968" w:type="dxa"/>
            <w:noWrap w:val="0"/>
            <w:vAlign w:val="top"/>
          </w:tcPr>
          <w:p w14:paraId="64E56D2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w:t>
            </w:r>
          </w:p>
        </w:tc>
        <w:tc>
          <w:tcPr>
            <w:tcW w:w="3243" w:type="dxa"/>
            <w:noWrap w:val="0"/>
            <w:vAlign w:val="center"/>
          </w:tcPr>
          <w:p w14:paraId="16BA0FA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投标人资格要求</w:t>
            </w:r>
          </w:p>
        </w:tc>
        <w:tc>
          <w:tcPr>
            <w:tcW w:w="4968" w:type="dxa"/>
            <w:noWrap w:val="0"/>
            <w:vAlign w:val="top"/>
          </w:tcPr>
          <w:p w14:paraId="67C881EC">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w:t>
            </w:r>
          </w:p>
        </w:tc>
        <w:tc>
          <w:tcPr>
            <w:tcW w:w="3243" w:type="dxa"/>
            <w:noWrap w:val="0"/>
            <w:vAlign w:val="center"/>
          </w:tcPr>
          <w:p w14:paraId="4EDCDF3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是否接受联合体投标</w:t>
            </w:r>
          </w:p>
        </w:tc>
        <w:tc>
          <w:tcPr>
            <w:tcW w:w="4968" w:type="dxa"/>
            <w:noWrap w:val="0"/>
            <w:vAlign w:val="center"/>
          </w:tcPr>
          <w:p w14:paraId="0745F92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w:t>
            </w:r>
          </w:p>
        </w:tc>
        <w:tc>
          <w:tcPr>
            <w:tcW w:w="3243" w:type="dxa"/>
            <w:noWrap w:val="0"/>
            <w:vAlign w:val="center"/>
          </w:tcPr>
          <w:p w14:paraId="7E8F8B6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踏勘现场</w:t>
            </w:r>
          </w:p>
        </w:tc>
        <w:tc>
          <w:tcPr>
            <w:tcW w:w="4968" w:type="dxa"/>
            <w:noWrap w:val="0"/>
            <w:vAlign w:val="center"/>
          </w:tcPr>
          <w:p w14:paraId="45C40ED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1.10</w:t>
            </w:r>
          </w:p>
        </w:tc>
        <w:tc>
          <w:tcPr>
            <w:tcW w:w="3243" w:type="dxa"/>
            <w:noWrap w:val="0"/>
            <w:vAlign w:val="center"/>
          </w:tcPr>
          <w:p w14:paraId="1357C16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分  包</w:t>
            </w:r>
          </w:p>
        </w:tc>
        <w:tc>
          <w:tcPr>
            <w:tcW w:w="4968" w:type="dxa"/>
            <w:noWrap w:val="0"/>
            <w:vAlign w:val="center"/>
          </w:tcPr>
          <w:p w14:paraId="2F64BC3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w:t>
            </w:r>
          </w:p>
        </w:tc>
        <w:tc>
          <w:tcPr>
            <w:tcW w:w="3243" w:type="dxa"/>
            <w:noWrap w:val="0"/>
            <w:vAlign w:val="center"/>
          </w:tcPr>
          <w:p w14:paraId="7EDECA8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偏  离</w:t>
            </w:r>
          </w:p>
        </w:tc>
        <w:tc>
          <w:tcPr>
            <w:tcW w:w="4968" w:type="dxa"/>
            <w:noWrap w:val="0"/>
            <w:vAlign w:val="center"/>
          </w:tcPr>
          <w:p w14:paraId="667DE53A">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投标人要求澄清</w:t>
            </w:r>
          </w:p>
          <w:p w14:paraId="512BCF4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w:t>
            </w:r>
            <w:r>
              <w:rPr>
                <w:rFonts w:hint="eastAsia" w:ascii="宋体" w:hAnsi="宋体" w:cs="宋体"/>
                <w:color w:val="000000" w:themeColor="text1"/>
                <w:sz w:val="24"/>
                <w:szCs w:val="24"/>
                <w:highlight w:val="none"/>
                <w:u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04</w:t>
            </w:r>
            <w:r>
              <w:rPr>
                <w:rFonts w:hint="eastAsia" w:ascii="宋体" w:hAnsi="宋体" w:cs="宋体"/>
                <w:color w:val="000000" w:themeColor="text1"/>
                <w:sz w:val="24"/>
                <w:szCs w:val="24"/>
                <w:highlight w:val="none"/>
                <w:u w:val="none"/>
                <w14:textFill>
                  <w14:solidFill>
                    <w14:schemeClr w14:val="tx1"/>
                  </w14:solidFill>
                </w14:textFill>
              </w:rPr>
              <w:t>月</w:t>
            </w:r>
            <w:r>
              <w:rPr>
                <w:rFonts w:hint="eastAsia" w:ascii="宋体" w:hAnsi="宋体" w:cs="宋体"/>
                <w:color w:val="000000" w:themeColor="text1"/>
                <w:sz w:val="24"/>
                <w:szCs w:val="24"/>
                <w:highlight w:val="none"/>
                <w:u w:val="none"/>
                <w:lang w:val="en-US" w:eastAsia="zh-CN"/>
                <w14:textFill>
                  <w14:solidFill>
                    <w14:schemeClr w14:val="tx1"/>
                  </w14:solidFill>
                </w14:textFill>
              </w:rPr>
              <w:t>16</w:t>
            </w:r>
            <w:r>
              <w:rPr>
                <w:rFonts w:hint="eastAsia" w:ascii="宋体" w:hAnsi="宋体" w:cs="宋体"/>
                <w:color w:val="000000" w:themeColor="text1"/>
                <w:sz w:val="24"/>
                <w:szCs w:val="24"/>
                <w:highlight w:val="none"/>
                <w:u w:val="none"/>
                <w14:textFill>
                  <w14:solidFill>
                    <w14:schemeClr w14:val="tx1"/>
                  </w14:solidFill>
                </w14:textFill>
              </w:rPr>
              <w:t>日</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none"/>
                <w:u w:val="none"/>
                <w14:textFill>
                  <w14:solidFill>
                    <w14:schemeClr w14:val="tx1"/>
                  </w14:solidFill>
                </w14:textFill>
              </w:rPr>
              <w:t>时</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none"/>
                <w:u w:val="none"/>
                <w14:textFill>
                  <w14:solidFill>
                    <w14:schemeClr w14:val="tx1"/>
                  </w14:solidFill>
                </w14:textFill>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w:t>
            </w:r>
            <w:r>
              <w:rPr>
                <w:rFonts w:hint="eastAsia" w:ascii="宋体" w:hAnsi="宋体" w:cs="宋体"/>
                <w:color w:val="000000" w:themeColor="text1"/>
                <w:sz w:val="24"/>
                <w:szCs w:val="24"/>
                <w:highlight w:val="none"/>
                <w:u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04</w:t>
            </w:r>
            <w:r>
              <w:rPr>
                <w:rFonts w:hint="eastAsia" w:ascii="宋体" w:hAnsi="宋体" w:cs="宋体"/>
                <w:color w:val="000000" w:themeColor="text1"/>
                <w:sz w:val="24"/>
                <w:szCs w:val="24"/>
                <w:highlight w:val="none"/>
                <w:u w:val="none"/>
                <w14:textFill>
                  <w14:solidFill>
                    <w14:schemeClr w14:val="tx1"/>
                  </w14:solidFill>
                </w14:textFill>
              </w:rPr>
              <w:t>月</w:t>
            </w:r>
            <w:r>
              <w:rPr>
                <w:rFonts w:hint="eastAsia" w:ascii="宋体" w:hAnsi="宋体" w:cs="宋体"/>
                <w:color w:val="000000" w:themeColor="text1"/>
                <w:sz w:val="24"/>
                <w:szCs w:val="24"/>
                <w:highlight w:val="none"/>
                <w:u w:val="none"/>
                <w:lang w:val="en-US" w:eastAsia="zh-CN"/>
                <w14:textFill>
                  <w14:solidFill>
                    <w14:schemeClr w14:val="tx1"/>
                  </w14:solidFill>
                </w14:textFill>
              </w:rPr>
              <w:t>16</w:t>
            </w:r>
            <w:r>
              <w:rPr>
                <w:rFonts w:hint="eastAsia" w:ascii="宋体" w:hAnsi="宋体" w:cs="宋体"/>
                <w:color w:val="000000" w:themeColor="text1"/>
                <w:sz w:val="24"/>
                <w:szCs w:val="24"/>
                <w:highlight w:val="none"/>
                <w:u w:val="none"/>
                <w14:textFill>
                  <w14:solidFill>
                    <w14:schemeClr w14:val="tx1"/>
                  </w14:solidFill>
                </w14:textFill>
              </w:rPr>
              <w:t>日</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none"/>
                <w:u w:val="none"/>
                <w14:textFill>
                  <w14:solidFill>
                    <w14:schemeClr w14:val="tx1"/>
                  </w14:solidFill>
                </w14:textFill>
              </w:rPr>
              <w:t>时</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none"/>
                <w:u w:val="none"/>
                <w14:textFill>
                  <w14:solidFill>
                    <w14:schemeClr w14:val="tx1"/>
                  </w14:solidFill>
                </w14:textFill>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2.4</w:t>
            </w:r>
          </w:p>
        </w:tc>
        <w:tc>
          <w:tcPr>
            <w:tcW w:w="3243" w:type="dxa"/>
            <w:noWrap w:val="0"/>
            <w:vAlign w:val="center"/>
          </w:tcPr>
          <w:p w14:paraId="1E1DE0A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招标控制价：</w:t>
            </w:r>
            <w:r>
              <w:rPr>
                <w:rFonts w:ascii="宋体" w:hAnsi="宋体" w:eastAsia="宋体" w:cs="宋体"/>
                <w:color w:val="000000" w:themeColor="text1"/>
                <w:spacing w:val="-2"/>
                <w:sz w:val="24"/>
                <w:highlight w:val="none"/>
                <w14:textFill>
                  <w14:solidFill>
                    <w14:schemeClr w14:val="tx1"/>
                  </w14:solidFill>
                </w14:textFill>
              </w:rPr>
              <w:t>902705.53</w:t>
            </w:r>
            <w:r>
              <w:rPr>
                <w:rFonts w:hint="eastAsia" w:ascii="宋体" w:hAnsi="宋体" w:cs="宋体"/>
                <w:color w:val="000000" w:themeColor="text1"/>
                <w:sz w:val="24"/>
                <w:szCs w:val="24"/>
                <w:highlight w:val="none"/>
                <w14:textFill>
                  <w14:solidFill>
                    <w14:schemeClr w14:val="tx1"/>
                  </w14:solidFill>
                </w14:textFill>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2.4.1</w:t>
            </w:r>
          </w:p>
        </w:tc>
        <w:tc>
          <w:tcPr>
            <w:tcW w:w="3243" w:type="dxa"/>
            <w:noWrap w:val="0"/>
            <w:vAlign w:val="center"/>
          </w:tcPr>
          <w:p w14:paraId="1716973D">
            <w:pPr>
              <w:adjustRightInd w:val="0"/>
              <w:snapToGrid w:val="0"/>
              <w:spacing w:line="400" w:lineRule="exact"/>
              <w:jc w:val="center"/>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w:t>
            </w:r>
          </w:p>
        </w:tc>
        <w:tc>
          <w:tcPr>
            <w:tcW w:w="4968" w:type="dxa"/>
            <w:noWrap w:val="0"/>
            <w:vAlign w:val="center"/>
          </w:tcPr>
          <w:p w14:paraId="4B1277D0">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Segoe UI Emoji" w:hAnsi="Segoe UI Emoji" w:cs="Segoe UI Emoji"/>
                <w:color w:val="000000" w:themeColor="text1"/>
                <w:sz w:val="24"/>
                <w:szCs w:val="24"/>
                <w:highlight w:val="none"/>
                <w:lang w:eastAsia="zh-CN"/>
                <w14:textFill>
                  <w14:solidFill>
                    <w14:schemeClr w14:val="tx1"/>
                  </w14:solidFill>
                </w14:textFill>
              </w:rPr>
              <w:sym w:font="Wingdings 2" w:char="0052"/>
            </w:r>
            <w:r>
              <w:rPr>
                <w:rFonts w:hint="eastAsia" w:ascii="宋体" w:hAnsi="宋体"/>
                <w:color w:val="000000" w:themeColor="text1"/>
                <w:sz w:val="24"/>
                <w:szCs w:val="24"/>
                <w:highlight w:val="none"/>
                <w14:textFill>
                  <w14:solidFill>
                    <w14:schemeClr w14:val="tx1"/>
                  </w14:solidFill>
                </w14:textFill>
              </w:rPr>
              <w:t>不设暂估价</w:t>
            </w:r>
          </w:p>
          <w:p w14:paraId="0DC80DA7">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sym w:font="Wingdings 2" w:char="00A3"/>
            </w:r>
            <w:r>
              <w:rPr>
                <w:rFonts w:hint="eastAsia" w:ascii="宋体" w:hAnsi="宋体"/>
                <w:color w:val="000000" w:themeColor="text1"/>
                <w:sz w:val="24"/>
                <w:szCs w:val="24"/>
                <w:highlight w:val="none"/>
                <w14:textFill>
                  <w14:solidFill>
                    <w14:schemeClr w14:val="tx1"/>
                  </w14:solidFill>
                </w14:textFill>
              </w:rPr>
              <w:t>设暂估价</w:t>
            </w:r>
          </w:p>
          <w:p w14:paraId="3409D700">
            <w:pPr>
              <w:adjustRightInd w:val="0"/>
              <w:snapToGrid w:val="0"/>
              <w:spacing w:line="400" w:lineRule="exact"/>
              <w:ind w:left="105" w:leftChars="50" w:firstLine="120" w:firstLineChars="5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招标人预算价中的材料暂估价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元，暂列金额</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元，专业工程暂估价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元，均不含规费、税金。</w:t>
            </w:r>
          </w:p>
          <w:p w14:paraId="5B06A828">
            <w:pPr>
              <w:adjustRightInd w:val="0"/>
              <w:snapToGrid w:val="0"/>
              <w:spacing w:line="400" w:lineRule="exact"/>
              <w:ind w:firstLine="240" w:firstLineChars="1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3.1.1</w:t>
            </w:r>
          </w:p>
        </w:tc>
        <w:tc>
          <w:tcPr>
            <w:tcW w:w="3243" w:type="dxa"/>
            <w:noWrap w:val="0"/>
            <w:vAlign w:val="center"/>
          </w:tcPr>
          <w:p w14:paraId="5EC4CD4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构成投标文件的材料</w:t>
            </w:r>
          </w:p>
        </w:tc>
        <w:tc>
          <w:tcPr>
            <w:tcW w:w="4968" w:type="dxa"/>
            <w:noWrap w:val="0"/>
            <w:vAlign w:val="center"/>
          </w:tcPr>
          <w:p w14:paraId="6248D749">
            <w:pPr>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w:t>
            </w:r>
          </w:p>
        </w:tc>
        <w:tc>
          <w:tcPr>
            <w:tcW w:w="3243" w:type="dxa"/>
            <w:noWrap w:val="0"/>
            <w:vAlign w:val="center"/>
          </w:tcPr>
          <w:p w14:paraId="336A3F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投标有效期</w:t>
            </w:r>
          </w:p>
        </w:tc>
        <w:tc>
          <w:tcPr>
            <w:tcW w:w="4968" w:type="dxa"/>
            <w:noWrap w:val="0"/>
            <w:vAlign w:val="center"/>
          </w:tcPr>
          <w:p w14:paraId="2917AF7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投标截止日后</w:t>
            </w:r>
            <w:r>
              <w:rPr>
                <w:rFonts w:hint="eastAsia" w:ascii="宋体" w:hAnsi="宋体" w:cs="宋体"/>
                <w:color w:val="000000" w:themeColor="text1"/>
                <w:sz w:val="24"/>
                <w:szCs w:val="24"/>
                <w:highlight w:val="none"/>
                <w:u w:val="single"/>
                <w14:textFill>
                  <w14:solidFill>
                    <w14:schemeClr w14:val="tx1"/>
                  </w14:solidFill>
                </w14:textFill>
              </w:rPr>
              <w:t>60</w:t>
            </w:r>
            <w:r>
              <w:rPr>
                <w:rFonts w:hint="eastAsia" w:ascii="宋体" w:hAnsi="宋体" w:cs="宋体"/>
                <w:color w:val="000000" w:themeColor="text1"/>
                <w:sz w:val="24"/>
                <w:szCs w:val="24"/>
                <w:highlight w:val="none"/>
                <w14:textFill>
                  <w14:solidFill>
                    <w14:schemeClr w14:val="tx1"/>
                  </w14:solidFill>
                </w14:textFill>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3.2.3</w:t>
            </w:r>
          </w:p>
        </w:tc>
        <w:tc>
          <w:tcPr>
            <w:tcW w:w="3243" w:type="dxa"/>
            <w:noWrap w:val="0"/>
            <w:vAlign w:val="center"/>
          </w:tcPr>
          <w:p w14:paraId="0F93E4B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合同价格形式</w:t>
            </w:r>
          </w:p>
        </w:tc>
        <w:tc>
          <w:tcPr>
            <w:tcW w:w="4968" w:type="dxa"/>
            <w:noWrap w:val="0"/>
            <w:vAlign w:val="center"/>
          </w:tcPr>
          <w:p w14:paraId="7C345FB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3.4.1</w:t>
            </w:r>
          </w:p>
        </w:tc>
        <w:tc>
          <w:tcPr>
            <w:tcW w:w="3243" w:type="dxa"/>
            <w:noWrap w:val="0"/>
            <w:vAlign w:val="center"/>
          </w:tcPr>
          <w:p w14:paraId="36D7CA0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000000" w:themeColor="text1"/>
                <w:sz w:val="24"/>
                <w:szCs w:val="24"/>
                <w:highlight w:val="none"/>
                <w:u w:val="single"/>
                <w:lang w:val="en-US" w:eastAsia="zh-CN"/>
                <w14:textFill>
                  <w14:solidFill>
                    <w14:schemeClr w14:val="tx1"/>
                  </w14:solidFill>
                </w14:textFill>
              </w:rPr>
              <w:t>壹万元整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w:t>
            </w:r>
          </w:p>
        </w:tc>
        <w:tc>
          <w:tcPr>
            <w:tcW w:w="3243" w:type="dxa"/>
            <w:noWrap w:val="0"/>
            <w:vAlign w:val="center"/>
          </w:tcPr>
          <w:p w14:paraId="28D723B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2026年04月21日09时30分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递交投标文件地点</w:t>
            </w:r>
          </w:p>
        </w:tc>
        <w:tc>
          <w:tcPr>
            <w:tcW w:w="4968" w:type="dxa"/>
            <w:shd w:val="clear" w:color="auto" w:fill="auto"/>
            <w:noWrap w:val="0"/>
            <w:vAlign w:val="center"/>
          </w:tcPr>
          <w:p w14:paraId="6B80D79B">
            <w:pPr>
              <w:spacing w:before="78" w:after="78" w:line="420" w:lineRule="exact"/>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b/>
                <w:bCs/>
                <w:color w:val="000000" w:themeColor="text1"/>
                <w:sz w:val="24"/>
                <w:highlight w:val="none"/>
                <w:u w:val="single"/>
                <w:lang w:val="en-US" w:eastAsia="zh-CN"/>
                <w14:textFill>
                  <w14:solidFill>
                    <w14:schemeClr w14:val="tx1"/>
                  </w14:solidFill>
                </w14:textFill>
              </w:rPr>
              <w:t>9226296879</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w:t>
            </w:r>
            <w:r>
              <w:rPr>
                <w:rFonts w:hint="eastAsia" w:ascii="宋体" w:hAnsi="宋体" w:cs="宋体"/>
                <w:color w:val="000000" w:themeColor="text1"/>
                <w:sz w:val="24"/>
                <w:szCs w:val="24"/>
                <w:highlight w:val="none"/>
                <w:lang w:val="en-US" w:eastAsia="zh-CN"/>
                <w14:textFill>
                  <w14:solidFill>
                    <w14:schemeClr w14:val="tx1"/>
                  </w14:solidFill>
                </w14:textFill>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000000" w:themeColor="text1"/>
                <w:sz w:val="24"/>
                <w:szCs w:val="24"/>
                <w:highlight w:val="none"/>
                <w:u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2026年04月21日09时30分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w:t>
            </w:r>
          </w:p>
        </w:tc>
        <w:tc>
          <w:tcPr>
            <w:tcW w:w="3243" w:type="dxa"/>
            <w:noWrap w:val="0"/>
            <w:vAlign w:val="center"/>
          </w:tcPr>
          <w:p w14:paraId="6ED5BBE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开标时间：</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2026年03月24日09时30分</w:t>
            </w:r>
          </w:p>
          <w:p w14:paraId="2E1A0DD6">
            <w:pPr>
              <w:adjustRightInd w:val="0"/>
              <w:snapToGrid w:val="0"/>
              <w:spacing w:line="400" w:lineRule="exact"/>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开标地点</w:t>
            </w:r>
            <w:r>
              <w:rPr>
                <w:rFonts w:hint="eastAsia" w:ascii="宋体" w:hAnsi="宋体"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网上开标，腾讯会议号：9226296879</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w:t>
            </w:r>
          </w:p>
        </w:tc>
        <w:tc>
          <w:tcPr>
            <w:tcW w:w="3243" w:type="dxa"/>
            <w:noWrap w:val="0"/>
            <w:vAlign w:val="center"/>
          </w:tcPr>
          <w:p w14:paraId="6708C4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参加开标会的投标人代表</w:t>
            </w:r>
          </w:p>
        </w:tc>
        <w:tc>
          <w:tcPr>
            <w:tcW w:w="4968" w:type="dxa"/>
            <w:noWrap w:val="0"/>
            <w:vAlign w:val="center"/>
          </w:tcPr>
          <w:p w14:paraId="002DBD14">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w:t>
            </w:r>
          </w:p>
        </w:tc>
        <w:tc>
          <w:tcPr>
            <w:tcW w:w="3243" w:type="dxa"/>
            <w:noWrap w:val="0"/>
            <w:vAlign w:val="center"/>
          </w:tcPr>
          <w:p w14:paraId="2D7457D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开标程序</w:t>
            </w:r>
          </w:p>
        </w:tc>
        <w:tc>
          <w:tcPr>
            <w:tcW w:w="4968" w:type="dxa"/>
            <w:noWrap w:val="0"/>
            <w:vAlign w:val="center"/>
          </w:tcPr>
          <w:p w14:paraId="3A5FBEDB">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w:t>
            </w:r>
          </w:p>
        </w:tc>
        <w:tc>
          <w:tcPr>
            <w:tcW w:w="3243" w:type="dxa"/>
            <w:noWrap w:val="0"/>
            <w:vAlign w:val="center"/>
          </w:tcPr>
          <w:p w14:paraId="03F0FC2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评标委员会的组建</w:t>
            </w:r>
          </w:p>
        </w:tc>
        <w:tc>
          <w:tcPr>
            <w:tcW w:w="4968" w:type="dxa"/>
            <w:noWrap w:val="0"/>
            <w:vAlign w:val="center"/>
          </w:tcPr>
          <w:p w14:paraId="002BC782">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评标委员会构成：</w:t>
            </w:r>
            <w:r>
              <w:rPr>
                <w:rFonts w:hint="eastAsia" w:ascii="宋体" w:hAnsi="宋体" w:cs="宋体"/>
                <w:color w:val="000000" w:themeColor="text1"/>
                <w:sz w:val="24"/>
                <w:szCs w:val="24"/>
                <w:highlight w:val="none"/>
                <w:u w:val="single"/>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人。评标专家确定方式：</w:t>
            </w:r>
            <w:r>
              <w:rPr>
                <w:rFonts w:hint="eastAsia" w:ascii="宋体" w:hAnsi="宋体" w:cs="宋体"/>
                <w:color w:val="000000" w:themeColor="text1"/>
                <w:sz w:val="24"/>
                <w:szCs w:val="24"/>
                <w:highlight w:val="none"/>
                <w:u w:val="single"/>
                <w14:textFill>
                  <w14:solidFill>
                    <w14:schemeClr w14:val="tx1"/>
                  </w14:solidFill>
                </w14:textFill>
              </w:rPr>
              <w:t>随机抽取</w:t>
            </w:r>
            <w:r>
              <w:rPr>
                <w:rFonts w:hint="eastAsia" w:ascii="宋体" w:hAnsi="宋体" w:cs="宋体"/>
                <w:color w:val="000000" w:themeColor="text1"/>
                <w:sz w:val="24"/>
                <w:szCs w:val="24"/>
                <w:highlight w:val="none"/>
                <w14:textFill>
                  <w14:solidFill>
                    <w14:schemeClr w14:val="tx1"/>
                  </w14:solidFill>
                </w14:textFill>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w:t>
            </w:r>
          </w:p>
        </w:tc>
        <w:tc>
          <w:tcPr>
            <w:tcW w:w="3243" w:type="dxa"/>
            <w:noWrap w:val="0"/>
            <w:vAlign w:val="center"/>
          </w:tcPr>
          <w:p w14:paraId="6E07D95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合理低价法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w:t>
            </w:r>
          </w:p>
        </w:tc>
        <w:tc>
          <w:tcPr>
            <w:tcW w:w="3243" w:type="dxa"/>
            <w:noWrap w:val="0"/>
            <w:vAlign w:val="center"/>
          </w:tcPr>
          <w:p w14:paraId="4F06EAA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是否授权评标委员会</w:t>
            </w:r>
          </w:p>
          <w:p w14:paraId="1C4C757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确定中标人</w:t>
            </w:r>
          </w:p>
        </w:tc>
        <w:tc>
          <w:tcPr>
            <w:tcW w:w="4968" w:type="dxa"/>
            <w:noWrap w:val="0"/>
            <w:vAlign w:val="center"/>
          </w:tcPr>
          <w:p w14:paraId="0D393CD1">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w:t>
            </w:r>
          </w:p>
          <w:p w14:paraId="702E8F2D">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☑否，推荐的中标候选人数：</w:t>
            </w:r>
            <w:r>
              <w:rPr>
                <w:rFonts w:hint="eastAsia" w:ascii="宋体" w:hAnsi="宋体" w:cs="宋体"/>
                <w:color w:val="000000" w:themeColor="text1"/>
                <w:sz w:val="24"/>
                <w:szCs w:val="24"/>
                <w:highlight w:val="none"/>
                <w:u w:val="single"/>
                <w14:textFill>
                  <w14:solidFill>
                    <w14:schemeClr w14:val="tx1"/>
                  </w14:solidFill>
                </w14:textFill>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w:t>
            </w:r>
          </w:p>
        </w:tc>
        <w:tc>
          <w:tcPr>
            <w:tcW w:w="3243" w:type="dxa"/>
            <w:noWrap w:val="0"/>
            <w:vAlign w:val="center"/>
          </w:tcPr>
          <w:p w14:paraId="2609279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履约保证金</w:t>
            </w:r>
          </w:p>
        </w:tc>
        <w:tc>
          <w:tcPr>
            <w:tcW w:w="4968" w:type="dxa"/>
            <w:noWrap w:val="0"/>
            <w:vAlign w:val="center"/>
          </w:tcPr>
          <w:p w14:paraId="7EC54512">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履约担保的形式：</w:t>
            </w:r>
            <w:r>
              <w:rPr>
                <w:rFonts w:hint="eastAsia" w:ascii="宋体" w:hAnsi="宋体" w:cs="宋体"/>
                <w:color w:val="000000" w:themeColor="text1"/>
                <w:sz w:val="24"/>
                <w:szCs w:val="24"/>
                <w:highlight w:val="none"/>
                <w14:textFill>
                  <w14:solidFill>
                    <w14:schemeClr w14:val="tx1"/>
                  </w14:solidFill>
                </w14:textFill>
              </w:rPr>
              <w:t>现金、履约担保、投标人基本账户开户行出具的保函或者保险公司保险单。</w:t>
            </w:r>
          </w:p>
          <w:p w14:paraId="456137C7">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履约担保的额度：</w:t>
            </w:r>
            <w:r>
              <w:rPr>
                <w:rFonts w:hint="eastAsia" w:ascii="宋体" w:hAnsi="宋体"/>
                <w:b/>
                <w:bCs/>
                <w:color w:val="000000" w:themeColor="text1"/>
                <w:sz w:val="24"/>
                <w:szCs w:val="24"/>
                <w:highlight w:val="none"/>
                <w14:textFill>
                  <w14:solidFill>
                    <w14:schemeClr w14:val="tx1"/>
                  </w14:solidFill>
                </w14:textFill>
              </w:rPr>
              <w:t>中标价的</w:t>
            </w:r>
            <w:r>
              <w:rPr>
                <w:rFonts w:ascii="宋体" w:hAnsi="宋体"/>
                <w:b/>
                <w:bCs/>
                <w:color w:val="000000" w:themeColor="text1"/>
                <w:sz w:val="24"/>
                <w:szCs w:val="24"/>
                <w:highlight w:val="none"/>
                <w14:textFill>
                  <w14:solidFill>
                    <w14:schemeClr w14:val="tx1"/>
                  </w14:solidFill>
                </w14:textFill>
              </w:rPr>
              <w:t>5</w:t>
            </w:r>
            <w:r>
              <w:rPr>
                <w:rFonts w:hint="eastAsia" w:ascii="宋体" w:hAnsi="宋体"/>
                <w:b/>
                <w:bCs/>
                <w:color w:val="000000" w:themeColor="text1"/>
                <w:sz w:val="24"/>
                <w:szCs w:val="24"/>
                <w:highlight w:val="none"/>
                <w14:textFill>
                  <w14:solidFill>
                    <w14:schemeClr w14:val="tx1"/>
                  </w14:solidFill>
                </w14:textFill>
              </w:rPr>
              <w:t>%</w:t>
            </w:r>
          </w:p>
          <w:p w14:paraId="32A028C5">
            <w:pPr>
              <w:ind w:left="1050" w:hanging="1050"/>
              <w:jc w:val="left"/>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提交时间：中标人应在接到中标通知书 5 日内，并在签订合同前，向招标人足额提交履约保证金，否则招标人可以取消其中标资格</w:t>
            </w:r>
            <w:r>
              <w:rPr>
                <w:rFonts w:hint="eastAsia" w:ascii="宋体" w:hAnsi="宋体" w:cs="宋体"/>
                <w:bCs/>
                <w:color w:val="000000" w:themeColor="text1"/>
                <w:sz w:val="24"/>
                <w:szCs w:val="24"/>
                <w:highlight w:val="none"/>
                <w14:textFill>
                  <w14:solidFill>
                    <w14:schemeClr w14:val="tx1"/>
                  </w14:solidFill>
                </w14:textFill>
              </w:rPr>
              <w:t>，在工程竣工验收合格后无息退还</w:t>
            </w:r>
            <w:r>
              <w:rPr>
                <w:rFonts w:hint="eastAsia" w:ascii="宋体" w:hAnsi="宋体"/>
                <w:color w:val="000000" w:themeColor="text1"/>
                <w:sz w:val="24"/>
                <w:szCs w:val="24"/>
                <w:highlight w:val="none"/>
                <w14:textFill>
                  <w14:solidFill>
                    <w14:schemeClr w14:val="tx1"/>
                  </w14:solidFill>
                </w14:textFill>
              </w:rPr>
              <w:t>。</w:t>
            </w:r>
          </w:p>
          <w:p w14:paraId="28E56B6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w:t>
            </w:r>
          </w:p>
        </w:tc>
        <w:tc>
          <w:tcPr>
            <w:tcW w:w="3243" w:type="dxa"/>
            <w:noWrap w:val="0"/>
            <w:vAlign w:val="center"/>
          </w:tcPr>
          <w:p w14:paraId="4E0CD0B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异议提出的时间</w:t>
            </w:r>
          </w:p>
        </w:tc>
        <w:tc>
          <w:tcPr>
            <w:tcW w:w="4968" w:type="dxa"/>
            <w:noWrap w:val="0"/>
            <w:vAlign w:val="center"/>
          </w:tcPr>
          <w:p w14:paraId="474D6CA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shd w:val="clear" w:color="auto" w:fill="auto"/>
            <w:noWrap w:val="0"/>
            <w:vAlign w:val="top"/>
          </w:tcPr>
          <w:p w14:paraId="50001E41">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ascii="宋体" w:hAnsi="宋体" w:cs="宋体"/>
                <w:color w:val="000000" w:themeColor="text1"/>
                <w:sz w:val="22"/>
                <w:szCs w:val="22"/>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2"/>
                <w:sz w:val="22"/>
                <w:szCs w:val="22"/>
                <w:shd w:val="clear" w:fill="auto"/>
                <w:lang w:val="en-US" w:eastAsia="zh-CN" w:bidi="ar-SA"/>
                <w14:textFill>
                  <w14:solidFill>
                    <w14:schemeClr w14:val="tx1"/>
                  </w14:solidFill>
                </w14:textFill>
              </w:rPr>
              <w:t>10.</w:t>
            </w:r>
            <w:r>
              <w:rPr>
                <w:rFonts w:hint="eastAsia" w:ascii="宋体" w:hAnsi="宋体" w:cs="宋体"/>
                <w:color w:val="000000" w:themeColor="text1"/>
                <w:sz w:val="22"/>
                <w:szCs w:val="22"/>
                <w:highlight w:val="none"/>
                <w:shd w:val="clear" w:color="auto" w:fill="auto"/>
                <w14:textFill>
                  <w14:solidFill>
                    <w14:schemeClr w14:val="tx1"/>
                  </w14:solidFill>
                </w14:textFill>
              </w:rPr>
              <w:t>需要补充的其他内容</w:t>
            </w:r>
            <w:r>
              <w:rPr>
                <w:rFonts w:hint="eastAsia" w:ascii="宋体" w:hAnsi="宋体" w:cs="宋体"/>
                <w:color w:val="000000" w:themeColor="text1"/>
                <w:sz w:val="22"/>
                <w:szCs w:val="22"/>
                <w:highlight w:val="none"/>
                <w:shd w:val="clear" w:color="auto" w:fill="auto"/>
                <w:lang w:eastAsia="zh-CN"/>
                <w14:textFill>
                  <w14:solidFill>
                    <w14:schemeClr w14:val="tx1"/>
                  </w14:solidFill>
                </w14:textFill>
              </w:rPr>
              <w:t>：</w:t>
            </w:r>
          </w:p>
          <w:p w14:paraId="37206D41">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kern w:val="2"/>
                <w:sz w:val="24"/>
                <w:szCs w:val="24"/>
                <w:lang w:val="en-US" w:eastAsia="zh-CN" w:bidi="ar-SA"/>
              </w:rPr>
              <w:t>1.在</w:t>
            </w:r>
            <w:r>
              <w:rPr>
                <w:rFonts w:hint="eastAsia" w:ascii="宋体" w:hAnsi="宋体" w:eastAsia="宋体" w:cs="宋体"/>
                <w:color w:val="auto"/>
                <w:sz w:val="24"/>
                <w:szCs w:val="24"/>
                <w:lang w:val="en-US" w:eastAsia="zh-CN"/>
              </w:rPr>
              <w:t>本项目施工过程中，如遇一切地方矛盾及由此产生的相关费用（征地、拆迁原因除外），均与招标人无关，由中标人全权负责，并须在投标报价中予以充分考虑。</w:t>
            </w:r>
          </w:p>
          <w:p w14:paraId="26F13623">
            <w:pPr>
              <w:keepNext w:val="0"/>
              <w:keepLines w:val="0"/>
              <w:pageBreakBefore w:val="0"/>
              <w:widowControl w:val="0"/>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sz w:val="24"/>
                <w:szCs w:val="32"/>
                <w:lang w:eastAsia="zh-CN"/>
              </w:rPr>
              <w:t>2.为确保碎石生产安全并满足路基处理要求，中标方须严格遵循甲方要求，将渣土、碎石运输至甲方指定区域。</w:t>
            </w:r>
          </w:p>
          <w:p w14:paraId="3986A040">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kern w:val="2"/>
                <w:sz w:val="24"/>
                <w:szCs w:val="32"/>
                <w:lang w:val="en-US" w:eastAsia="zh-CN" w:bidi="ar-SA"/>
              </w:rPr>
              <w:t>3.</w:t>
            </w:r>
            <w:r>
              <w:rPr>
                <w:rFonts w:hint="eastAsia" w:ascii="宋体" w:hAnsi="宋体" w:eastAsia="宋体" w:cs="宋体"/>
                <w:sz w:val="24"/>
                <w:szCs w:val="32"/>
                <w:lang w:val="en-US" w:eastAsia="zh-CN"/>
              </w:rPr>
              <w:t>投标</w:t>
            </w:r>
            <w:r>
              <w:rPr>
                <w:rFonts w:hint="eastAsia" w:ascii="宋体" w:hAnsi="宋体" w:cs="宋体"/>
                <w:sz w:val="24"/>
                <w:szCs w:val="32"/>
                <w:lang w:val="en-US" w:eastAsia="zh-CN"/>
              </w:rPr>
              <w:t>人</w:t>
            </w:r>
            <w:r>
              <w:rPr>
                <w:rFonts w:hint="eastAsia" w:ascii="宋体" w:hAnsi="宋体" w:eastAsia="宋体" w:cs="宋体"/>
                <w:sz w:val="24"/>
                <w:szCs w:val="32"/>
                <w:lang w:val="en-US" w:eastAsia="zh-CN"/>
              </w:rPr>
              <w:t>在投标前，可自行组织赴项目现场进行实地考察，以全面掌握项目现场实际情况。</w:t>
            </w:r>
          </w:p>
          <w:p w14:paraId="017F25A8">
            <w:pPr>
              <w:keepNext w:val="0"/>
              <w:keepLines w:val="0"/>
              <w:pageBreakBefore w:val="0"/>
              <w:widowControl w:val="0"/>
              <w:shd w:val="clear"/>
              <w:kinsoku/>
              <w:wordWrap/>
              <w:overflowPunct/>
              <w:topLinePunct w:val="0"/>
              <w:autoSpaceDE/>
              <w:autoSpaceDN/>
              <w:bidi w:val="0"/>
              <w:adjustRightInd w:val="0"/>
              <w:snapToGrid w:val="0"/>
              <w:spacing w:line="440" w:lineRule="exac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32"/>
                <w:lang w:eastAsia="zh-CN"/>
              </w:rPr>
              <w:t>4.上述条款所涉及的一切相关费用，均由投标人自行承担。</w:t>
            </w:r>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解释权：构成本招标文件的各个组成文件应互为解释，互为说明。当发现的不明确或不一致，在招标文件中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邀请书）、投标人须知、评标办法、投标文件格式的先后顺序解释。同一组成文件中就同一事项的规定或约定不一致的，影响评审的，剔除该因素进行评审；其</w:t>
            </w:r>
            <w:r>
              <w:rPr>
                <w:rFonts w:hint="eastAsia" w:ascii="宋体" w:hAnsi="宋体" w:cs="宋体"/>
                <w:color w:val="000000" w:themeColor="text1"/>
                <w:sz w:val="24"/>
                <w:szCs w:val="24"/>
                <w:highlight w:val="none"/>
                <w:lang w:eastAsia="zh-CN"/>
                <w14:textFill>
                  <w14:solidFill>
                    <w14:schemeClr w14:val="tx1"/>
                  </w14:solidFill>
                </w14:textFill>
              </w:rPr>
              <w:t>他</w:t>
            </w:r>
            <w:r>
              <w:rPr>
                <w:rFonts w:hint="eastAsia" w:ascii="宋体" w:hAnsi="宋体" w:cs="宋体"/>
                <w:color w:val="000000" w:themeColor="text1"/>
                <w:sz w:val="24"/>
                <w:szCs w:val="24"/>
                <w:highlight w:val="none"/>
                <w14:textFill>
                  <w14:solidFill>
                    <w14:schemeClr w14:val="tx1"/>
                  </w14:solidFill>
                </w14:textFill>
              </w:rPr>
              <w:t>情形的，以现行法律法规约定为准；凡同一组成文件不同版本之间有不一致的，以形成时间在后者为准。⑶按本款前述规定仍不能形成结论的，由招标人负责解释。</w:t>
            </w:r>
          </w:p>
        </w:tc>
      </w:tr>
    </w:tbl>
    <w:p w14:paraId="397367E5">
      <w:p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074A1BC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2" w:name="_Toc389065145"/>
      <w:bookmarkStart w:id="3" w:name="_Toc498006644"/>
      <w:bookmarkStart w:id="4" w:name="_Toc29430"/>
      <w:r>
        <w:rPr>
          <w:rFonts w:hint="eastAsia" w:ascii="宋体" w:hAnsi="宋体"/>
          <w:b/>
          <w:bCs/>
          <w:color w:val="000000" w:themeColor="text1"/>
          <w:sz w:val="24"/>
          <w:szCs w:val="24"/>
          <w:highlight w:val="none"/>
          <w14:textFill>
            <w14:solidFill>
              <w14:schemeClr w14:val="tx1"/>
            </w14:solidFill>
          </w14:textFill>
        </w:rPr>
        <w:t>1 总则</w:t>
      </w:r>
      <w:bookmarkEnd w:id="2"/>
      <w:bookmarkEnd w:id="3"/>
    </w:p>
    <w:p w14:paraId="350C943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5" w:name="_Toc498006645"/>
      <w:bookmarkStart w:id="6" w:name="_Toc389065146"/>
      <w:r>
        <w:rPr>
          <w:rFonts w:hint="eastAsia" w:ascii="宋体" w:hAnsi="宋体"/>
          <w:b/>
          <w:bCs/>
          <w:color w:val="000000" w:themeColor="text1"/>
          <w:sz w:val="24"/>
          <w:szCs w:val="24"/>
          <w:highlight w:val="none"/>
          <w14:textFill>
            <w14:solidFill>
              <w14:schemeClr w14:val="tx1"/>
            </w14:solidFill>
          </w14:textFill>
        </w:rPr>
        <w:t>1.1 项目概况</w:t>
      </w:r>
      <w:bookmarkEnd w:id="5"/>
      <w:bookmarkEnd w:id="6"/>
    </w:p>
    <w:p w14:paraId="3153659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 根据《中华人民共和国招标投标法》等有关法律、法规和规章的规定，本招标项目已具备招标条件，现对该项目进行招标。</w:t>
      </w:r>
    </w:p>
    <w:p w14:paraId="4DE88B3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 本招标项目招标人：见“投标人须知前附表”。</w:t>
      </w:r>
    </w:p>
    <w:p w14:paraId="11D6456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 本标段招标代理机构：见“投标人须知前附表”。</w:t>
      </w:r>
    </w:p>
    <w:p w14:paraId="733D9E6F">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 本招标项目及标段名称：见“投标人须知前附表”。</w:t>
      </w:r>
    </w:p>
    <w:p w14:paraId="05F7051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1.1.5 本标段建设地点：见“投标人须知前附表”。</w:t>
      </w:r>
    </w:p>
    <w:p w14:paraId="4C702B4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1.2 资金来源和落实情况</w:t>
      </w:r>
    </w:p>
    <w:p w14:paraId="62224ED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 本招标项目的资金来源：见“投标人须知前附表”。</w:t>
      </w:r>
    </w:p>
    <w:p w14:paraId="36A78FB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 本招标项目的出资比例：见“投标人须知前附表”。</w:t>
      </w:r>
    </w:p>
    <w:p w14:paraId="4AD7E7EA">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 本招标项目的资金落实情况：见“投标人须知前附表”。</w:t>
      </w:r>
    </w:p>
    <w:p w14:paraId="3849EB4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 本招标项目的工程款支付方式：见“投标人须知前附表”。</w:t>
      </w:r>
    </w:p>
    <w:p w14:paraId="5C4B61D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1.3 招标范围、计划工期和质量要求</w:t>
      </w:r>
    </w:p>
    <w:p w14:paraId="455F5AF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 本次招标范围：见“投标人须知前附表”。</w:t>
      </w:r>
    </w:p>
    <w:p w14:paraId="1137E0E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 计划工期：见“投标人须知前附表”。</w:t>
      </w:r>
    </w:p>
    <w:p w14:paraId="7C6B62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 本标段的质量要求：见“投标人须知前附表”。</w:t>
      </w:r>
    </w:p>
    <w:p w14:paraId="77A68BC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1.4 投标人资格要求</w:t>
      </w:r>
    </w:p>
    <w:p w14:paraId="503708F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 投标人应具备承担本项目施工的资格要求，见招标公告。</w:t>
      </w:r>
    </w:p>
    <w:p w14:paraId="3AD2541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 投标人不得存在下列情形之一：</w:t>
      </w:r>
    </w:p>
    <w:p w14:paraId="4C3B759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（1）为招标人不具有独立法人资格的附属机构（单位）；</w:t>
      </w:r>
    </w:p>
    <w:p w14:paraId="4FA39A7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（2）为本招标项目的监理人、代建人、项目管理人，以及为本招标项目提供招标代理、设计服务的；</w:t>
      </w:r>
    </w:p>
    <w:p w14:paraId="07B1856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（3）与本招标项目的监理人、代建人、招标代理机构同为一个法定代表人的，或者相互控股、参股的；</w:t>
      </w:r>
    </w:p>
    <w:p w14:paraId="698BF1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（4）与招标人存在利害关系可能影响招标公正性的；</w:t>
      </w:r>
    </w:p>
    <w:p w14:paraId="58C9C7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（5）单位负责人为同一人或者存在控股、管理关系的不同单位；</w:t>
      </w:r>
    </w:p>
    <w:p w14:paraId="0128330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（6）处于被责令停业、财产被接管、冻结和破产状态，以及投标资格被取消或者被暂停且在暂停期内；</w:t>
      </w:r>
    </w:p>
    <w:p w14:paraId="7088D35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（7）因拖欠工人工资或者发生质量安全事故被有关部门限制在招标项目所在地承接工程的；</w:t>
      </w:r>
    </w:p>
    <w:p w14:paraId="5EF892F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（8）投标人近3年内有行贿犯罪行为且被记录，或者法定代表人有行贿犯罪记录且自记录之日起未超过5年的。</w:t>
      </w:r>
    </w:p>
    <w:p w14:paraId="2597427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1.5 费用承担</w:t>
      </w:r>
    </w:p>
    <w:p w14:paraId="5D1C9A5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投标人准备和参加投标活动发生的费用自理。</w:t>
      </w:r>
    </w:p>
    <w:p w14:paraId="1F3320C4">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1.6 保密</w:t>
      </w:r>
    </w:p>
    <w:p w14:paraId="0A4A3938">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参与招标投标活动的各方应对招标文件和投标文件中的商业和技术等秘密保密，违者应对由此造成的后果承担法律责任。</w:t>
      </w:r>
    </w:p>
    <w:p w14:paraId="385BED8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 语言文字</w:t>
      </w:r>
    </w:p>
    <w:p w14:paraId="657DF18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除专用术语外，与招标投标有关的语言均使用中文，必要时专用术语应附有中文注释。</w:t>
      </w:r>
    </w:p>
    <w:p w14:paraId="71E9670D">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1.8 计量单位</w:t>
      </w:r>
    </w:p>
    <w:p w14:paraId="36646077">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所有计量均采用中华人民共和国法定计量单位。</w:t>
      </w:r>
    </w:p>
    <w:p w14:paraId="0FC5371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1.9 踏勘现场</w:t>
      </w:r>
    </w:p>
    <w:p w14:paraId="3975E0E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 投标人根据需要自行踏勘项目现场。</w:t>
      </w:r>
    </w:p>
    <w:p w14:paraId="4A652DB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1.9.2 投标人踏勘现场发生的费用自理。</w:t>
      </w:r>
    </w:p>
    <w:p w14:paraId="10B00E1D">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1.9.3 投标人自行负责在踏勘现场中所发生的人员伤亡和财产损失。</w:t>
      </w:r>
    </w:p>
    <w:p w14:paraId="4FA367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1.10 分包</w:t>
      </w:r>
    </w:p>
    <w:p w14:paraId="7106BD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投标人拟在中标后将中标项目的部分非主体、非关键性工作进行分包的，应符合“投标人须知前附表”规定的分包内容、分包金额和接受分包的第三人资质要求等限制性条件。</w:t>
      </w:r>
    </w:p>
    <w:p w14:paraId="5842684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1.11 偏离</w:t>
      </w:r>
    </w:p>
    <w:p w14:paraId="51C9099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投标人须知前附表允许投标文件偏离招标文件某些要求的，偏离应当符合招标文件规定的偏离范围和幅度。</w:t>
      </w:r>
    </w:p>
    <w:p w14:paraId="1520413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1.12 知识产权</w:t>
      </w:r>
    </w:p>
    <w:p w14:paraId="4A28CF7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59EFA48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1.13 同义词语</w:t>
      </w:r>
    </w:p>
    <w:p w14:paraId="5D717F8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招标文件组成部分的“通用合同条款”、“专用合同条款”、“技术标准和要求”和“工程量清单”等章节中出现的措辞“发包人”和“承包人”，在招标投标阶段应当分别按“招标人”和“投标人”进行理解。</w:t>
      </w:r>
    </w:p>
    <w:p w14:paraId="23A0B2E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 招标文件</w:t>
      </w:r>
    </w:p>
    <w:p w14:paraId="325F47D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2.1 招标文件的组成</w:t>
      </w:r>
    </w:p>
    <w:p w14:paraId="7CDEE82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2.1.1 本招标文件包括：</w:t>
      </w:r>
    </w:p>
    <w:p w14:paraId="1A4CA4D6">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r>
        <w:rPr>
          <w:rFonts w:hint="eastAsia" w:ascii="宋体" w:hAnsi="宋体"/>
          <w:color w:val="000000" w:themeColor="text1"/>
          <w:sz w:val="24"/>
          <w:szCs w:val="24"/>
          <w:highlight w:val="none"/>
          <w:lang w:val="en-US" w:eastAsia="zh-CN"/>
          <w14:textFill>
            <w14:solidFill>
              <w14:schemeClr w14:val="tx1"/>
            </w14:solidFill>
          </w14:textFill>
        </w:rPr>
        <w:t>招标公告</w:t>
      </w:r>
      <w:r>
        <w:rPr>
          <w:rFonts w:hint="eastAsia" w:ascii="宋体" w:hAnsi="宋体"/>
          <w:color w:val="000000" w:themeColor="text1"/>
          <w:sz w:val="24"/>
          <w:szCs w:val="24"/>
          <w:highlight w:val="none"/>
          <w14:textFill>
            <w14:solidFill>
              <w14:schemeClr w14:val="tx1"/>
            </w14:solidFill>
          </w14:textFill>
        </w:rPr>
        <w:t>；</w:t>
      </w:r>
    </w:p>
    <w:p w14:paraId="512AC9D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（2）投标人须知；</w:t>
      </w:r>
    </w:p>
    <w:p w14:paraId="78B852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（3）评标办法；</w:t>
      </w:r>
    </w:p>
    <w:p w14:paraId="27C11125">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（4）合同条款及格式；</w:t>
      </w:r>
    </w:p>
    <w:p w14:paraId="3FD934B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（5）工程量清单；</w:t>
      </w:r>
    </w:p>
    <w:p w14:paraId="52E167A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6</w:t>
      </w:r>
      <w:r>
        <w:rPr>
          <w:rFonts w:hint="eastAsia" w:ascii="宋体" w:hAnsi="宋体"/>
          <w:color w:val="000000" w:themeColor="text1"/>
          <w:sz w:val="24"/>
          <w:szCs w:val="24"/>
          <w:highlight w:val="none"/>
          <w14:textFill>
            <w14:solidFill>
              <w14:schemeClr w14:val="tx1"/>
            </w14:solidFill>
          </w14:textFill>
        </w:rPr>
        <w:t>）投标文件格式。</w:t>
      </w:r>
    </w:p>
    <w:p w14:paraId="76A6C2F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2.1.2 根据本章第2.2款和第2.3款对招标文件所作的澄清、修改，构成招标文件的组成部分。招标文件的澄清、修改内容前后相互矛盾时，以发布时间在后的文件为准。</w:t>
      </w:r>
    </w:p>
    <w:p w14:paraId="1588C1BE">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2.2 招标文件的澄清</w:t>
      </w:r>
    </w:p>
    <w:p w14:paraId="47ABAA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2.2.1 投标人应仔细阅读和检查招标文件的全部内容，投标人如有疑问，应在投标人须知前附表规定的时间，通过书面形式提交，要求招标人对招标文件予以澄清。</w:t>
      </w:r>
    </w:p>
    <w:p w14:paraId="5D3B548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投标人不在澄清期限内提出，招标人有权不予答复。</w:t>
      </w:r>
    </w:p>
    <w:p w14:paraId="4693FA8B">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2.2.2 招标文件的澄清将应在投标人须知前附表规定的时间前，通过书面形式发给所有投标人，但招标人不指明澄清问题的来源，招标人不再另行通知。</w:t>
      </w:r>
    </w:p>
    <w:p w14:paraId="5717BFB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2.2.3澄清文件按本章第2.2.2款规定发出之时起，视为投标人已收到该澄清文件。投标人未及时查阅招标文件的澄清，或未按照澄清后的招标文件编制投标文件，由此造成的后果由投标人自行承担。</w:t>
      </w:r>
    </w:p>
    <w:p w14:paraId="466363B3">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2.3 招标文件的修改</w:t>
      </w:r>
    </w:p>
    <w:p w14:paraId="65540AC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2.3.1 招标文件发布后，招标人确需对招标文件进行修改的，招标人将通过书面形式发给所有投标人。</w:t>
      </w:r>
    </w:p>
    <w:p w14:paraId="243C180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2.3.2 修改文件按本章第2.3.1款规定发出之时起，视为投标人已收到该修改文件。投标人未及时查阅招标文件的修改，或未按照修改后的招标文件编制投标文件，由此造成的后果由投标人自行承担。</w:t>
      </w:r>
    </w:p>
    <w:p w14:paraId="55D04E8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2.4 招标控制价</w:t>
      </w:r>
    </w:p>
    <w:p w14:paraId="3C80D5B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000000" w:themeColor="text1"/>
          <w:sz w:val="24"/>
          <w:szCs w:val="24"/>
          <w:highlight w:val="none"/>
          <w14:textFill>
            <w14:solidFill>
              <w14:schemeClr w14:val="tx1"/>
            </w14:solidFill>
          </w14:textFill>
        </w:rPr>
        <w:t>本工程招标控制价金额见“投标人须知前附表”。</w:t>
      </w:r>
    </w:p>
    <w:p w14:paraId="6F700F7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 投标文件</w:t>
      </w:r>
    </w:p>
    <w:p w14:paraId="47BFCE0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3.1 投标文件的组成</w:t>
      </w:r>
    </w:p>
    <w:p w14:paraId="4F3D81D0">
      <w:pPr>
        <w:keepNext w:val="0"/>
        <w:keepLines w:val="0"/>
        <w:pageBreakBefore w:val="0"/>
        <w:widowControl w:val="0"/>
        <w:tabs>
          <w:tab w:val="left" w:pos="0"/>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3.1.1 投标文件均由封面、投标函、法定代表人身份证明、委托代理书（如果有）、</w:t>
      </w:r>
      <w:r>
        <w:rPr>
          <w:rFonts w:hint="eastAsia" w:ascii="宋体" w:hAnsi="宋体"/>
          <w:bCs/>
          <w:color w:val="000000" w:themeColor="text1"/>
          <w:sz w:val="24"/>
          <w:szCs w:val="24"/>
          <w:highlight w:val="none"/>
          <w14:textFill>
            <w14:solidFill>
              <w14:schemeClr w14:val="tx1"/>
            </w14:solidFill>
          </w14:textFill>
        </w:rPr>
        <w:t>资格审查资料、</w:t>
      </w:r>
      <w:r>
        <w:rPr>
          <w:rFonts w:hint="eastAsia" w:ascii="宋体" w:hAnsi="宋体"/>
          <w:color w:val="000000" w:themeColor="text1"/>
          <w:sz w:val="24"/>
          <w:szCs w:val="24"/>
          <w:highlight w:val="none"/>
          <w14:textFill>
            <w14:solidFill>
              <w14:schemeClr w14:val="tx1"/>
            </w14:solidFill>
          </w14:textFill>
        </w:rPr>
        <w:t>已标价工程量清单组成。</w:t>
      </w:r>
    </w:p>
    <w:p w14:paraId="5E040618">
      <w:pPr>
        <w:keepNext w:val="0"/>
        <w:keepLines w:val="0"/>
        <w:pageBreakBefore w:val="0"/>
        <w:widowControl w:val="0"/>
        <w:kinsoku/>
        <w:wordWrap/>
        <w:overflowPunct/>
        <w:topLinePunct w:val="0"/>
        <w:autoSpaceDE/>
        <w:autoSpaceDN/>
        <w:bidi w:val="0"/>
        <w:adjustRightInd/>
        <w:spacing w:line="336" w:lineRule="auto"/>
        <w:ind w:firstLine="480" w:firstLineChars="200"/>
        <w:jc w:val="left"/>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3.1.2</w:t>
      </w:r>
      <w:r>
        <w:rPr>
          <w:rFonts w:hint="eastAsia" w:ascii="宋体" w:hAnsi="宋体"/>
          <w:b/>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已标价工程量清单,按照施工</w:t>
      </w:r>
      <w:bookmarkStart w:id="565" w:name="_GoBack"/>
      <w:r>
        <w:rPr>
          <w:rFonts w:hint="eastAsia" w:ascii="宋体" w:hAnsi="宋体"/>
          <w:color w:val="000000" w:themeColor="text1"/>
          <w:sz w:val="24"/>
          <w:szCs w:val="24"/>
          <w:highlight w:val="none"/>
          <w14:textFill>
            <w14:solidFill>
              <w14:schemeClr w14:val="tx1"/>
            </w14:solidFill>
          </w14:textFill>
        </w:rPr>
        <w:t>图纸</w:t>
      </w:r>
      <w:bookmarkEnd w:id="565"/>
      <w:r>
        <w:rPr>
          <w:rFonts w:hint="eastAsia" w:ascii="宋体" w:hAnsi="宋体"/>
          <w:color w:val="000000" w:themeColor="text1"/>
          <w:sz w:val="24"/>
          <w:szCs w:val="24"/>
          <w:highlight w:val="none"/>
          <w14:textFill>
            <w14:solidFill>
              <w14:schemeClr w14:val="tx1"/>
            </w14:solidFill>
          </w14:textFill>
        </w:rPr>
        <w:t>、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000000" w:themeColor="text1"/>
          <w:sz w:val="24"/>
          <w:szCs w:val="24"/>
          <w:highlight w:val="none"/>
          <w14:textFill>
            <w14:solidFill>
              <w14:schemeClr w14:val="tx1"/>
            </w14:solidFill>
          </w14:textFill>
        </w:rPr>
        <w:t>09</w:t>
      </w:r>
      <w:r>
        <w:rPr>
          <w:rFonts w:hint="eastAsia" w:ascii="宋体" w:hAnsi="宋体"/>
          <w:color w:val="000000" w:themeColor="text1"/>
          <w:sz w:val="24"/>
          <w:szCs w:val="24"/>
          <w:highlight w:val="none"/>
          <w14:textFill>
            <w14:solidFill>
              <w14:schemeClr w14:val="tx1"/>
            </w14:solidFill>
          </w14:textFill>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人工工资执行苏建函价〔2021〕62号及各级建设行政主管部门发布的有关文件及政策性文件等规定进行编制。</w:t>
      </w:r>
    </w:p>
    <w:p w14:paraId="651873BC">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3.1.3 </w:t>
      </w:r>
      <w:r>
        <w:rPr>
          <w:rFonts w:hint="eastAsia" w:ascii="宋体" w:hAnsi="宋体"/>
          <w:bCs/>
          <w:color w:val="000000" w:themeColor="text1"/>
          <w:sz w:val="24"/>
          <w:szCs w:val="24"/>
          <w:highlight w:val="none"/>
          <w14:textFill>
            <w14:solidFill>
              <w14:schemeClr w14:val="tx1"/>
            </w14:solidFill>
          </w14:textFill>
        </w:rPr>
        <w:t>资格审查资料：</w:t>
      </w:r>
    </w:p>
    <w:p w14:paraId="7B0436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hint="eastAsia"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企业法人营业执照副本、企业资质证书副本、企业安全生产许可证副本、项目负责人建造师注册证书、项目负责人B类安全生产考核合格证</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企业基本开户许可证或企业银行基本存款账户开户基本信息</w:t>
      </w:r>
      <w:r>
        <w:rPr>
          <w:rFonts w:hint="eastAsia" w:ascii="宋体" w:hAnsi="宋体"/>
          <w:color w:val="000000" w:themeColor="text1"/>
          <w:sz w:val="24"/>
          <w:szCs w:val="24"/>
          <w:highlight w:val="none"/>
          <w:lang w:eastAsia="zh-CN"/>
          <w14:textFill>
            <w14:solidFill>
              <w14:schemeClr w14:val="tx1"/>
            </w14:solidFill>
          </w14:textFill>
        </w:rPr>
        <w:t>。</w:t>
      </w:r>
    </w:p>
    <w:p w14:paraId="19C5A7F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w:t>
      </w:r>
      <w:r>
        <w:rPr>
          <w:rFonts w:hint="eastAsia" w:ascii="宋体" w:hAnsi="宋体"/>
          <w:b/>
          <w:color w:val="000000" w:themeColor="text1"/>
          <w:sz w:val="24"/>
          <w:szCs w:val="24"/>
          <w:highlight w:val="none"/>
          <w14:textFill>
            <w14:solidFill>
              <w14:schemeClr w14:val="tx1"/>
            </w14:solidFill>
          </w14:textFill>
        </w:rPr>
        <w:t>，投标时不需要提供原件。</w:t>
      </w:r>
    </w:p>
    <w:p w14:paraId="52220FFB">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 xml:space="preserve">3.2 </w:t>
      </w:r>
      <w:r>
        <w:rPr>
          <w:rFonts w:hint="eastAsia" w:ascii="宋体" w:hAnsi="宋体"/>
          <w:b/>
          <w:bCs/>
          <w:color w:val="000000" w:themeColor="text1"/>
          <w:sz w:val="24"/>
          <w:szCs w:val="24"/>
          <w:highlight w:val="none"/>
          <w14:textFill>
            <w14:solidFill>
              <w14:schemeClr w14:val="tx1"/>
            </w14:solidFill>
          </w14:textFill>
        </w:rPr>
        <w:t>投标报价</w:t>
      </w:r>
    </w:p>
    <w:p w14:paraId="0A7A366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880515E">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3.2.2 投标人应充分了解施工场地的</w:t>
      </w:r>
      <w:r>
        <w:rPr>
          <w:rFonts w:ascii="宋体" w:hAnsi="宋体"/>
          <w:color w:val="000000" w:themeColor="text1"/>
          <w:sz w:val="24"/>
          <w:szCs w:val="24"/>
          <w:highlight w:val="none"/>
          <w14:textFill>
            <w14:solidFill>
              <w14:schemeClr w14:val="tx1"/>
            </w14:solidFill>
          </w14:textFill>
        </w:rPr>
        <w:t>位置、周边</w:t>
      </w:r>
      <w:r>
        <w:rPr>
          <w:rFonts w:hint="eastAsia" w:ascii="宋体" w:hAnsi="宋体"/>
          <w:color w:val="000000" w:themeColor="text1"/>
          <w:sz w:val="24"/>
          <w:szCs w:val="24"/>
          <w:highlight w:val="none"/>
          <w14:textFill>
            <w14:solidFill>
              <w14:schemeClr w14:val="tx1"/>
            </w14:solidFill>
          </w14:textFill>
        </w:rPr>
        <w:t>环境</w:t>
      </w:r>
      <w:r>
        <w:rPr>
          <w:rFonts w:ascii="宋体" w:hAnsi="宋体"/>
          <w:color w:val="000000" w:themeColor="text1"/>
          <w:sz w:val="24"/>
          <w:szCs w:val="24"/>
          <w:highlight w:val="none"/>
          <w14:textFill>
            <w14:solidFill>
              <w14:schemeClr w14:val="tx1"/>
            </w14:solidFill>
          </w14:textFill>
        </w:rPr>
        <w:t>、道路、装卸、保管、安装限制</w:t>
      </w:r>
      <w:r>
        <w:rPr>
          <w:rFonts w:hint="eastAsia" w:ascii="宋体" w:hAnsi="宋体"/>
          <w:color w:val="000000" w:themeColor="text1"/>
          <w:sz w:val="24"/>
          <w:szCs w:val="24"/>
          <w:highlight w:val="none"/>
          <w14:textFill>
            <w14:solidFill>
              <w14:schemeClr w14:val="tx1"/>
            </w14:solidFill>
          </w14:textFill>
        </w:rPr>
        <w:t>以</w:t>
      </w:r>
      <w:r>
        <w:rPr>
          <w:rFonts w:ascii="宋体" w:hAnsi="宋体"/>
          <w:color w:val="000000" w:themeColor="text1"/>
          <w:sz w:val="24"/>
          <w:szCs w:val="24"/>
          <w:highlight w:val="none"/>
          <w14:textFill>
            <w14:solidFill>
              <w14:schemeClr w14:val="tx1"/>
            </w14:solidFill>
          </w14:textFill>
        </w:rPr>
        <w:t>及影响</w:t>
      </w:r>
      <w:r>
        <w:rPr>
          <w:rFonts w:hint="eastAsia" w:ascii="宋体" w:hAnsi="宋体"/>
          <w:color w:val="000000" w:themeColor="text1"/>
          <w:sz w:val="24"/>
          <w:szCs w:val="24"/>
          <w:highlight w:val="none"/>
          <w14:textFill>
            <w14:solidFill>
              <w14:schemeClr w14:val="tx1"/>
            </w14:solidFill>
          </w14:textFill>
        </w:rPr>
        <w:t>投标报价的其他要素。投标人</w:t>
      </w:r>
      <w:r>
        <w:rPr>
          <w:rFonts w:ascii="宋体" w:hAnsi="宋体"/>
          <w:color w:val="000000" w:themeColor="text1"/>
          <w:sz w:val="24"/>
          <w:szCs w:val="24"/>
          <w:highlight w:val="none"/>
          <w14:textFill>
            <w14:solidFill>
              <w14:schemeClr w14:val="tx1"/>
            </w14:solidFill>
          </w14:textFill>
        </w:rPr>
        <w:t>根据</w:t>
      </w:r>
      <w:r>
        <w:rPr>
          <w:rFonts w:hint="eastAsia" w:ascii="宋体" w:hAnsi="宋体"/>
          <w:color w:val="000000" w:themeColor="text1"/>
          <w:sz w:val="24"/>
          <w:szCs w:val="24"/>
          <w:highlight w:val="none"/>
          <w14:textFill>
            <w14:solidFill>
              <w14:schemeClr w14:val="tx1"/>
            </w14:solidFill>
          </w14:textFill>
        </w:rPr>
        <w:t>拟实施的施工组织</w:t>
      </w:r>
      <w:r>
        <w:rPr>
          <w:rFonts w:ascii="宋体" w:hAnsi="宋体"/>
          <w:color w:val="000000" w:themeColor="text1"/>
          <w:sz w:val="24"/>
          <w:szCs w:val="24"/>
          <w:highlight w:val="none"/>
          <w14:textFill>
            <w14:solidFill>
              <w14:schemeClr w14:val="tx1"/>
            </w14:solidFill>
          </w14:textFill>
        </w:rPr>
        <w:t>设计</w:t>
      </w:r>
      <w:r>
        <w:rPr>
          <w:rFonts w:hint="eastAsia" w:ascii="宋体" w:hAnsi="宋体"/>
          <w:color w:val="000000" w:themeColor="text1"/>
          <w:sz w:val="24"/>
          <w:szCs w:val="24"/>
          <w:highlight w:val="none"/>
          <w14:textFill>
            <w14:solidFill>
              <w14:schemeClr w14:val="tx1"/>
            </w14:solidFill>
          </w14:textFill>
        </w:rPr>
        <w:t>，结合</w:t>
      </w:r>
      <w:r>
        <w:rPr>
          <w:rFonts w:ascii="宋体" w:hAnsi="宋体"/>
          <w:color w:val="000000" w:themeColor="text1"/>
          <w:sz w:val="24"/>
          <w:szCs w:val="24"/>
          <w:highlight w:val="none"/>
          <w14:textFill>
            <w14:solidFill>
              <w14:schemeClr w14:val="tx1"/>
            </w14:solidFill>
          </w14:textFill>
        </w:rPr>
        <w:t>市场情况进行投标报价。</w:t>
      </w:r>
    </w:p>
    <w:p w14:paraId="15345A38">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3.2.3 投标人在投标截止时间前修改投标函中的投标报价总额，应同时修改投标文件“已标价工程量清单”中的相应报价，二者必须相同。</w:t>
      </w:r>
    </w:p>
    <w:p w14:paraId="34DFB59C">
      <w:pPr>
        <w:keepNext w:val="0"/>
        <w:keepLines w:val="0"/>
        <w:pageBreakBefore w:val="0"/>
        <w:widowControl w:val="0"/>
        <w:kinsoku/>
        <w:wordWrap/>
        <w:overflowPunct/>
        <w:topLinePunct w:val="0"/>
        <w:autoSpaceDE/>
        <w:autoSpaceDN/>
        <w:bidi w:val="0"/>
        <w:adjustRightInd/>
        <w:snapToGrid w:val="0"/>
        <w:spacing w:line="336" w:lineRule="auto"/>
        <w:ind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3.2.4工程量清单中暂列金、暂估价、安全文明施工措施费、规费(包括社会保险费、住房公积金、环境保护税</w:t>
      </w: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b/>
          <w:color w:val="000000" w:themeColor="text1"/>
          <w:sz w:val="24"/>
          <w:szCs w:val="24"/>
          <w:highlight w:val="none"/>
          <w14:textFill>
            <w14:solidFill>
              <w14:schemeClr w14:val="tx1"/>
            </w14:solidFill>
          </w14:textFill>
        </w:rPr>
        <w:t>、</w:t>
      </w:r>
      <w:r>
        <w:rPr>
          <w:rFonts w:hint="eastAsia" w:ascii="宋体" w:hAnsi="宋体" w:cs="宋体"/>
          <w:b/>
          <w:color w:val="000000" w:themeColor="text1"/>
          <w:kern w:val="0"/>
          <w:sz w:val="24"/>
          <w:szCs w:val="24"/>
          <w:highlight w:val="none"/>
          <w14:textFill>
            <w14:solidFill>
              <w14:schemeClr w14:val="tx1"/>
            </w14:solidFill>
          </w14:textFill>
        </w:rPr>
        <w:t>税金</w:t>
      </w:r>
      <w:r>
        <w:rPr>
          <w:rFonts w:hint="eastAsia" w:ascii="宋体" w:hAnsi="宋体"/>
          <w:b/>
          <w:color w:val="000000" w:themeColor="text1"/>
          <w:sz w:val="24"/>
          <w:szCs w:val="24"/>
          <w:highlight w:val="none"/>
          <w14:textFill>
            <w14:solidFill>
              <w14:schemeClr w14:val="tx1"/>
            </w14:solidFill>
          </w14:textFill>
        </w:rPr>
        <w:t>为不可竞争费用项目，其金额（费率）不得改变，否则按废标处理。</w:t>
      </w:r>
    </w:p>
    <w:p w14:paraId="7AA3A432">
      <w:pPr>
        <w:keepNext w:val="0"/>
        <w:keepLines w:val="0"/>
        <w:pageBreakBefore w:val="0"/>
        <w:widowControl w:val="0"/>
        <w:kinsoku/>
        <w:wordWrap/>
        <w:overflowPunct/>
        <w:topLinePunct w:val="0"/>
        <w:autoSpaceDE/>
        <w:autoSpaceDN/>
        <w:bidi w:val="0"/>
        <w:adjustRightInd/>
        <w:spacing w:line="336"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3.2.5 本工程投标报价采用的币种为人民币,单位为元。</w:t>
      </w:r>
    </w:p>
    <w:p w14:paraId="672A806F">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3.3 投标有效期</w:t>
      </w:r>
    </w:p>
    <w:p w14:paraId="3F0F41A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7F2A89D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48256FDE">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3.4 投标保证金</w:t>
      </w:r>
    </w:p>
    <w:p w14:paraId="6145FC27">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lang w:val="en-US" w:eastAsia="zh-CN"/>
          <w14:textFill>
            <w14:solidFill>
              <w14:schemeClr w14:val="tx1"/>
            </w14:solidFill>
          </w14:textFill>
        </w:rPr>
        <w:t>详见</w:t>
      </w:r>
      <w:r>
        <w:rPr>
          <w:rFonts w:hint="eastAsia" w:ascii="宋体" w:hAnsi="宋体"/>
          <w:b/>
          <w:color w:val="000000" w:themeColor="text1"/>
          <w:sz w:val="24"/>
          <w:szCs w:val="24"/>
          <w:highlight w:val="none"/>
          <w14:textFill>
            <w14:solidFill>
              <w14:schemeClr w14:val="tx1"/>
            </w14:solidFill>
          </w14:textFill>
        </w:rPr>
        <w:t>投标人须知前附表</w:t>
      </w:r>
    </w:p>
    <w:p w14:paraId="6AF7398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default" w:ascii="宋体" w:hAnsi="宋体" w:eastAsia="宋体"/>
          <w:b/>
          <w:bCs/>
          <w:color w:val="000000" w:themeColor="text1"/>
          <w:sz w:val="24"/>
          <w:szCs w:val="24"/>
          <w:highlight w:val="none"/>
          <w:lang w:val="en-US" w:eastAsia="zh-CN"/>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 xml:space="preserve">3.5 </w:t>
      </w:r>
      <w:r>
        <w:rPr>
          <w:rFonts w:hint="eastAsia" w:ascii="宋体" w:hAnsi="宋体"/>
          <w:b/>
          <w:bCs/>
          <w:color w:val="000000" w:themeColor="text1"/>
          <w:sz w:val="24"/>
          <w:szCs w:val="24"/>
          <w:highlight w:val="none"/>
          <w:lang w:val="en-US" w:eastAsia="zh-CN"/>
          <w14:textFill>
            <w14:solidFill>
              <w14:schemeClr w14:val="tx1"/>
            </w14:solidFill>
          </w14:textFill>
        </w:rPr>
        <w:t>资格审查资料</w:t>
      </w:r>
    </w:p>
    <w:p w14:paraId="1B8685E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投标人投标文件中提供的以下资格审查资料</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必须真实有效，且须保证</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：与原件一致（原件不得涂改，如有涂改须加盖原签发单位公章）、完整、清晰可辨（钢印除外），出现不符合上述任一情况的，资格审查均不予通过。</w:t>
      </w:r>
    </w:p>
    <w:p w14:paraId="4035275D">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投标人编制投标文件时，必须</w:t>
      </w:r>
      <w:r>
        <w:rPr>
          <w:rFonts w:hint="eastAsia" w:ascii="宋体" w:hAnsi="宋体"/>
          <w:color w:val="000000" w:themeColor="text1"/>
          <w:sz w:val="24"/>
          <w:szCs w:val="24"/>
          <w:highlight w:val="none"/>
          <w:lang w:val="en-US" w:eastAsia="zh-CN"/>
          <w14:textFill>
            <w14:solidFill>
              <w14:schemeClr w14:val="tx1"/>
            </w14:solidFill>
          </w14:textFill>
        </w:rPr>
        <w:t>提供</w:t>
      </w:r>
      <w:r>
        <w:rPr>
          <w:rFonts w:hint="eastAsia" w:ascii="宋体" w:hAnsi="宋体"/>
          <w:color w:val="000000" w:themeColor="text1"/>
          <w:sz w:val="24"/>
          <w:szCs w:val="24"/>
          <w:highlight w:val="none"/>
          <w14:textFill>
            <w14:solidFill>
              <w14:schemeClr w14:val="tx1"/>
            </w14:solidFill>
          </w14:textFill>
        </w:rPr>
        <w:t>以下内容：</w:t>
      </w:r>
    </w:p>
    <w:p w14:paraId="56898849">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（1）投标人有效的营业执照（副本）。</w:t>
      </w:r>
    </w:p>
    <w:p w14:paraId="59AAA0EE">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（2）投标人有效的施工资质证书（副本）。</w:t>
      </w:r>
    </w:p>
    <w:p w14:paraId="059DAB92">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（3）投标人有效的企业安全生产许可证（副本）。</w:t>
      </w:r>
    </w:p>
    <w:p w14:paraId="1C87D016">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（4）投标项目负责人有效的安全生产考核合格证（B 类）。</w:t>
      </w:r>
    </w:p>
    <w:p w14:paraId="3DE3BAB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（5）符合招标文件约定要求的项目负责人的建造师注册证书。</w:t>
      </w:r>
    </w:p>
    <w:p w14:paraId="55F57E6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（6）企业基本开户许可证或企业银行基本存款账户开户基本信息加盖投标人单位公章。</w:t>
      </w:r>
    </w:p>
    <w:p w14:paraId="7320B32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7</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p>
    <w:p w14:paraId="214F5D8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）招标文件要求的其它证明资料。</w:t>
      </w:r>
    </w:p>
    <w:p w14:paraId="1937BB7B">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3.6 投标文件的编制</w:t>
      </w:r>
    </w:p>
    <w:p w14:paraId="3E6477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3.6.1投标文件应按第六章“投标文件格式”进行编写，如有必要，可以增加附页，作为投标文件的组成部分。</w:t>
      </w:r>
    </w:p>
    <w:p w14:paraId="12F7ED4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w:t>
      </w:r>
      <w:r>
        <w:rPr>
          <w:rFonts w:hint="eastAsia" w:ascii="宋体" w:hAnsi="宋体" w:cs="宋体"/>
          <w:color w:val="000000" w:themeColor="text1"/>
          <w:sz w:val="24"/>
          <w:szCs w:val="24"/>
          <w:highlight w:val="none"/>
          <w14:textFill>
            <w14:solidFill>
              <w14:schemeClr w14:val="tx1"/>
            </w14:solidFill>
          </w14:textFill>
        </w:rPr>
        <w:t>投标文件的编制方法及要求</w:t>
      </w:r>
    </w:p>
    <w:p w14:paraId="2326EF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3.6.2.1</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s="宋体"/>
          <w:color w:val="000000" w:themeColor="text1"/>
          <w:sz w:val="24"/>
          <w:szCs w:val="24"/>
          <w:highlight w:val="none"/>
          <w:lang w:eastAsia="zh-CN"/>
          <w14:textFill>
            <w14:solidFill>
              <w14:schemeClr w14:val="tx1"/>
            </w14:solidFill>
          </w14:textFill>
        </w:rPr>
        <w:t>代理公司</w:t>
      </w:r>
      <w:r>
        <w:rPr>
          <w:rFonts w:hint="eastAsia" w:ascii="宋体" w:hAnsi="宋体" w:cs="宋体"/>
          <w:color w:val="000000" w:themeColor="text1"/>
          <w:sz w:val="24"/>
          <w:szCs w:val="24"/>
          <w:highlight w:val="none"/>
          <w14:textFill>
            <w14:solidFill>
              <w14:schemeClr w14:val="tx1"/>
            </w14:solidFill>
          </w14:textFill>
        </w:rPr>
        <w:t>指定的邮箱（</w:t>
      </w:r>
      <w:r>
        <w:rPr>
          <w:rFonts w:hint="eastAsia" w:ascii="宋体" w:hAnsi="宋体" w:cs="宋体"/>
          <w:color w:val="000000" w:themeColor="text1"/>
          <w:sz w:val="24"/>
          <w:szCs w:val="24"/>
          <w:highlight w:val="none"/>
          <w:lang w:val="en-US" w:eastAsia="zh-CN"/>
          <w14:textFill>
            <w14:solidFill>
              <w14:schemeClr w14:val="tx1"/>
            </w14:solidFill>
          </w14:textFill>
        </w:rPr>
        <w:t>357164755@qq.com</w:t>
      </w:r>
      <w:r>
        <w:rPr>
          <w:rFonts w:hint="eastAsia" w:ascii="宋体" w:hAnsi="宋体" w:cs="宋体"/>
          <w:color w:val="000000" w:themeColor="text1"/>
          <w:sz w:val="24"/>
          <w:szCs w:val="24"/>
          <w:highlight w:val="none"/>
          <w14:textFill>
            <w14:solidFill>
              <w14:schemeClr w14:val="tx1"/>
            </w14:solidFill>
          </w14:textFill>
        </w:rPr>
        <w:t>），压缩包里面有且仅有一个文件。邮箱发送主题须标明“(项目名称)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”字样，压缩包</w:t>
      </w:r>
      <w:r>
        <w:rPr>
          <w:rFonts w:hint="eastAsia" w:ascii="宋体" w:hAnsi="宋体" w:cs="宋体"/>
          <w:color w:val="000000" w:themeColor="text1"/>
          <w:sz w:val="24"/>
          <w:szCs w:val="24"/>
          <w:highlight w:val="none"/>
          <w:lang w:val="en-US" w:eastAsia="zh-CN"/>
          <w14:textFill>
            <w14:solidFill>
              <w14:schemeClr w14:val="tx1"/>
            </w14:solidFill>
          </w14:textFill>
        </w:rPr>
        <w:t>与</w:t>
      </w:r>
      <w:r>
        <w:rPr>
          <w:rFonts w:hint="eastAsia" w:ascii="宋体" w:hAnsi="宋体" w:cs="宋体"/>
          <w:color w:val="000000" w:themeColor="text1"/>
          <w:sz w:val="24"/>
          <w:szCs w:val="24"/>
          <w:highlight w:val="none"/>
          <w14:textFill>
            <w14:solidFill>
              <w14:schemeClr w14:val="tx1"/>
            </w14:solidFill>
          </w14:textFill>
        </w:rPr>
        <w:t>PDF文件名称须标明“</w:t>
      </w:r>
      <w:r>
        <w:rPr>
          <w:rFonts w:hint="eastAsia" w:ascii="宋体" w:hAnsi="宋体" w:cs="宋体"/>
          <w:color w:val="000000" w:themeColor="text1"/>
          <w:sz w:val="24"/>
          <w:szCs w:val="24"/>
          <w:highlight w:val="none"/>
          <w:lang w:eastAsia="zh-CN"/>
          <w14:textFill>
            <w14:solidFill>
              <w14:schemeClr w14:val="tx1"/>
            </w14:solidFill>
          </w14:textFill>
        </w:rPr>
        <w:t>投标人简称(不超过五个字）</w:t>
      </w:r>
      <w:r>
        <w:rPr>
          <w:rFonts w:hint="eastAsia" w:ascii="宋体" w:hAnsi="宋体" w:cs="宋体"/>
          <w:color w:val="000000" w:themeColor="text1"/>
          <w:sz w:val="24"/>
          <w:szCs w:val="24"/>
          <w:highlight w:val="none"/>
          <w14:textFill>
            <w14:solidFill>
              <w14:schemeClr w14:val="tx1"/>
            </w14:solidFill>
          </w14:textFill>
        </w:rPr>
        <w:t>+(项目名称)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w:t>
      </w:r>
    </w:p>
    <w:p w14:paraId="5E5556D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投标单位中标后需提供纸质投标文件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按要求装订，</w:t>
      </w:r>
      <w:r>
        <w:rPr>
          <w:rFonts w:hint="eastAsia" w:ascii="宋体" w:hAnsi="宋体" w:cs="宋体"/>
          <w:color w:val="000000" w:themeColor="text1"/>
          <w:sz w:val="24"/>
          <w:szCs w:val="24"/>
          <w:highlight w:val="none"/>
          <w14:textFill>
            <w14:solidFill>
              <w14:schemeClr w14:val="tx1"/>
            </w14:solidFill>
          </w14:textFill>
        </w:rPr>
        <w:t>一</w:t>
      </w:r>
      <w:r>
        <w:rPr>
          <w:rFonts w:hint="eastAsia" w:ascii="宋体" w:hAnsi="宋体" w:cs="宋体"/>
          <w:color w:val="000000" w:themeColor="text1"/>
          <w:sz w:val="24"/>
          <w:szCs w:val="24"/>
          <w:highlight w:val="none"/>
          <w:lang w:val="en-US" w:eastAsia="zh-CN"/>
          <w14:textFill>
            <w14:solidFill>
              <w14:schemeClr w14:val="tx1"/>
            </w14:solidFill>
          </w14:textFill>
        </w:rPr>
        <w:t>正两副</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w:t>
      </w:r>
    </w:p>
    <w:p w14:paraId="3EA4663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 xml:space="preserve"> 投标文件应当对招标文件有关工期、投标有效期、质量要求、技术标准和要求、招标范围等实质性内容作出响应。</w:t>
      </w:r>
    </w:p>
    <w:p w14:paraId="0F403B0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4 投标文件编制的其他要求：</w:t>
      </w:r>
    </w:p>
    <w:p w14:paraId="5967633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4.1</w:t>
      </w:r>
      <w:r>
        <w:rPr>
          <w:rFonts w:hint="eastAsia" w:ascii="宋体" w:hAnsi="宋体" w:cs="宋体"/>
          <w:color w:val="000000" w:themeColor="text1"/>
          <w:sz w:val="24"/>
          <w:szCs w:val="24"/>
          <w:highlight w:val="none"/>
          <w14:textFill>
            <w14:solidFill>
              <w14:schemeClr w14:val="tx1"/>
            </w14:solidFill>
          </w14:textFill>
        </w:rPr>
        <w:t>招标文件提供的表式投标人应使用，但表式可以按同样格式拓展。</w:t>
      </w:r>
    </w:p>
    <w:p w14:paraId="7B857B1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 投标文件的递交</w:t>
      </w:r>
    </w:p>
    <w:p w14:paraId="2C6544A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4.2.1</w:t>
      </w:r>
      <w:r>
        <w:rPr>
          <w:rFonts w:hint="eastAsia" w:ascii="宋体" w:hAnsi="宋体" w:cs="宋体"/>
          <w:color w:val="000000" w:themeColor="text1"/>
          <w:sz w:val="24"/>
          <w:szCs w:val="24"/>
          <w:highlight w:val="none"/>
          <w14:textFill>
            <w14:solidFill>
              <w14:schemeClr w14:val="tx1"/>
            </w14:solidFill>
          </w14:textFill>
        </w:rPr>
        <w:t>投标人必须在招标文件规定的投标文件递交截止时间前完成投标文件的递交。</w:t>
      </w:r>
    </w:p>
    <w:p w14:paraId="3B4D83C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4.2.2</w:t>
      </w:r>
      <w:r>
        <w:rPr>
          <w:rFonts w:hint="eastAsia" w:ascii="宋体" w:hAnsi="宋体" w:cs="宋体"/>
          <w:color w:val="000000" w:themeColor="text1"/>
          <w:sz w:val="24"/>
          <w:szCs w:val="24"/>
          <w:highlight w:val="none"/>
          <w14:textFill>
            <w14:solidFill>
              <w14:schemeClr w14:val="tx1"/>
            </w14:solidFill>
          </w14:textFill>
        </w:rPr>
        <w:t>投标人递交投标文件的地点：见投标须知前附表。</w:t>
      </w:r>
    </w:p>
    <w:p w14:paraId="378E02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r>
        <w:rPr>
          <w:rFonts w:hint="eastAsia" w:ascii="宋体" w:hAnsi="宋体" w:cs="宋体"/>
          <w:color w:val="000000" w:themeColor="text1"/>
          <w:sz w:val="24"/>
          <w:szCs w:val="24"/>
          <w:highlight w:val="none"/>
          <w14:textFill>
            <w14:solidFill>
              <w14:schemeClr w14:val="tx1"/>
            </w14:solidFill>
          </w14:textFill>
        </w:rPr>
        <w:t>投标单位因故无法参加开标的，须在开标截止日前以书面形式向招标代理出具情况说明，否则视为恶意投标，六个月内不得参加</w:t>
      </w:r>
      <w:r>
        <w:rPr>
          <w:rFonts w:hint="eastAsia" w:ascii="宋体" w:hAnsi="宋体" w:cs="宋体"/>
          <w:color w:val="000000" w:themeColor="text1"/>
          <w:sz w:val="24"/>
          <w:szCs w:val="24"/>
          <w:highlight w:val="none"/>
          <w:lang w:val="en-US"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招投标项目。</w:t>
      </w:r>
    </w:p>
    <w:p w14:paraId="0A9E96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4.3 投标文件的修改与撤回</w:t>
      </w:r>
    </w:p>
    <w:p w14:paraId="2959E6C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之前，投标人可对所递交的投标文件以书面的形式进行修改或撤回。修改的内容作为投标文件的组成部分。修改的投标文件应按招标文件的相关规定进行编制、盖章、签字、密封、标识和递交，并标明“修改”字样。</w:t>
      </w:r>
    </w:p>
    <w:p w14:paraId="30FE249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4.4</w:t>
      </w:r>
      <w:r>
        <w:rPr>
          <w:rFonts w:hint="eastAsia" w:ascii="宋体" w:hAnsi="宋体" w:cs="宋体"/>
          <w:color w:val="000000" w:themeColor="text1"/>
          <w:sz w:val="24"/>
          <w:szCs w:val="24"/>
          <w:highlight w:val="none"/>
          <w14:textFill>
            <w14:solidFill>
              <w14:schemeClr w14:val="tx1"/>
            </w14:solidFill>
          </w14:textFill>
        </w:rPr>
        <w:t>投标文件的</w:t>
      </w:r>
      <w:r>
        <w:rPr>
          <w:rFonts w:hint="eastAsia" w:ascii="宋体" w:hAnsi="宋体" w:cs="宋体"/>
          <w:color w:val="000000" w:themeColor="text1"/>
          <w:sz w:val="24"/>
          <w:szCs w:val="24"/>
          <w:highlight w:val="none"/>
          <w:lang w:val="en-US" w:eastAsia="zh-CN"/>
          <w14:textFill>
            <w14:solidFill>
              <w14:schemeClr w14:val="tx1"/>
            </w14:solidFill>
          </w14:textFill>
        </w:rPr>
        <w:t>解密</w:t>
      </w:r>
    </w:p>
    <w:p w14:paraId="3358219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cs="宋体"/>
          <w:color w:val="000000" w:themeColor="text1"/>
          <w:sz w:val="24"/>
          <w:szCs w:val="24"/>
          <w:highlight w:val="none"/>
          <w14:textFill>
            <w14:solidFill>
              <w14:schemeClr w14:val="tx1"/>
            </w14:solidFill>
          </w14:textFill>
        </w:rPr>
        <w:t>文件的</w:t>
      </w:r>
      <w:r>
        <w:rPr>
          <w:rFonts w:hint="eastAsia" w:ascii="宋体" w:hAnsi="宋体" w:cs="宋体"/>
          <w:color w:val="000000" w:themeColor="text1"/>
          <w:sz w:val="24"/>
          <w:szCs w:val="24"/>
          <w:highlight w:val="none"/>
          <w:lang w:val="en-US" w:eastAsia="zh-CN"/>
          <w14:textFill>
            <w14:solidFill>
              <w14:schemeClr w14:val="tx1"/>
            </w14:solidFill>
          </w14:textFill>
        </w:rPr>
        <w:t>压缩包</w:t>
      </w:r>
      <w:r>
        <w:rPr>
          <w:rFonts w:hint="eastAsia" w:ascii="宋体" w:hAnsi="宋体" w:cs="宋体"/>
          <w:color w:val="000000" w:themeColor="text1"/>
          <w:sz w:val="24"/>
          <w:szCs w:val="24"/>
          <w:highlight w:val="none"/>
          <w14:textFill>
            <w14:solidFill>
              <w14:schemeClr w14:val="tx1"/>
            </w14:solidFill>
          </w14:textFill>
        </w:rPr>
        <w:t>密码在</w:t>
      </w:r>
      <w:r>
        <w:rPr>
          <w:rFonts w:hint="eastAsia" w:ascii="宋体" w:hAnsi="宋体" w:cs="宋体"/>
          <w:color w:val="000000" w:themeColor="text1"/>
          <w:sz w:val="24"/>
          <w:szCs w:val="24"/>
          <w:highlight w:val="none"/>
          <w:lang w:val="en-US" w:eastAsia="zh-CN"/>
          <w14:textFill>
            <w14:solidFill>
              <w14:schemeClr w14:val="tx1"/>
            </w14:solidFill>
          </w14:textFill>
        </w:rPr>
        <w:t>投标截止时间后15分钟内</w:t>
      </w:r>
      <w:r>
        <w:rPr>
          <w:rFonts w:hint="eastAsia" w:ascii="宋体" w:hAnsi="宋体" w:cs="宋体"/>
          <w:color w:val="000000" w:themeColor="text1"/>
          <w:sz w:val="24"/>
          <w:szCs w:val="24"/>
          <w:highlight w:val="none"/>
          <w14:textFill>
            <w14:solidFill>
              <w14:schemeClr w14:val="tx1"/>
            </w14:solidFill>
          </w14:textFill>
        </w:rPr>
        <w:t>发送至招标人指定邮箱（邮件主题为：投标人简称(不超过五个字）+(项目名称)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p>
    <w:p w14:paraId="26BCF12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5 开标</w:t>
      </w:r>
    </w:p>
    <w:p w14:paraId="3D1EFCF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 开标时间、地点和投标人参会代表</w:t>
      </w:r>
    </w:p>
    <w:p w14:paraId="188EBF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 招标人在投标人须知前附表规定的时间和地点公开开标；</w:t>
      </w:r>
    </w:p>
    <w:p w14:paraId="2D10CC1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 参加开标会的投标人代表的要求见投标人须知前附表。未按要求派相关人员参加开标的，其投标将被拒绝。</w:t>
      </w:r>
    </w:p>
    <w:p w14:paraId="42ED70E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 开标程序</w:t>
      </w:r>
    </w:p>
    <w:p w14:paraId="74F7623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 招标人按下列程序进行开标：</w:t>
      </w:r>
    </w:p>
    <w:p w14:paraId="7B029CD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（1）宣布开标纪律；</w:t>
      </w:r>
    </w:p>
    <w:p w14:paraId="72D5A5B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（2）宣布招标人、招标代理机构、招投标监管部门、交易中心出席开标会的有关人员姓名；</w:t>
      </w:r>
    </w:p>
    <w:p w14:paraId="25F0F2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（3）响水县公证处工作人员公布在投标截止时间前递交投标文件的投标人数量以及投标保证金缴纳情况；</w:t>
      </w:r>
    </w:p>
    <w:p w14:paraId="0C0B177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（4）招标人逐一核验招标文件要求参加开标会的投标人人员身份；</w:t>
      </w:r>
    </w:p>
    <w:p w14:paraId="3CBAE0B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（5）当众唱标，宣读投标人名称、标段名称、投标报价、质量标准、工期、项目负责人及其他内容；</w:t>
      </w:r>
    </w:p>
    <w:p w14:paraId="5A86F67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（6）出席开标会议的相关人员在开标记录上签字确认，未签字的视为认同；</w:t>
      </w:r>
    </w:p>
    <w:p w14:paraId="508B72B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（7）开标结束。</w:t>
      </w:r>
    </w:p>
    <w:p w14:paraId="57D31E7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 不予接受的投标文件</w:t>
      </w:r>
    </w:p>
    <w:p w14:paraId="0F1539F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 投标文件有下列情形之一的，招标人不予接受：</w:t>
      </w:r>
    </w:p>
    <w:p w14:paraId="5685E52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5.3.1.1 投标文件逾期送达或者未送达指定地点的。</w:t>
      </w:r>
    </w:p>
    <w:p w14:paraId="1AB0C6D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5.3.1.2 未按照招标文件的要求予以密封的。</w:t>
      </w:r>
    </w:p>
    <w:p w14:paraId="782B27B2">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6 评标</w:t>
      </w:r>
    </w:p>
    <w:p w14:paraId="0232C2C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 评标委员会</w:t>
      </w:r>
    </w:p>
    <w:p w14:paraId="6A05FBD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 评标由招标人依法组建的评标委员会负责。评标委员会成员人数以及技术、经济等方面专家的确定方式见“投标人须知前附表”。</w:t>
      </w:r>
    </w:p>
    <w:p w14:paraId="3899AC8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6.1.2 评标委员会成员有下列情形之一的，应当回避：</w:t>
      </w:r>
    </w:p>
    <w:p w14:paraId="45F3BC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（1）投标人或投标人的主要负责人的近亲属；</w:t>
      </w:r>
    </w:p>
    <w:p w14:paraId="46A7430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（2）项目主管部门或者行政监督部门的人员；</w:t>
      </w:r>
    </w:p>
    <w:p w14:paraId="63B98CE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（3）与投标人有经济利益关系，可能影响对投标公正评审的；</w:t>
      </w:r>
    </w:p>
    <w:p w14:paraId="7F98F86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（4）曾因在招标、评标以及其他与招标投标有关活动中从事违法行为而受过行政处罚或刑事处罚的。</w:t>
      </w:r>
    </w:p>
    <w:p w14:paraId="62D63B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6.2 评标原则</w:t>
      </w:r>
    </w:p>
    <w:p w14:paraId="2F0801D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评标活动遵循公平、公正、科学和择优的原则。</w:t>
      </w:r>
    </w:p>
    <w:p w14:paraId="3CB6BBF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 评标</w:t>
      </w:r>
    </w:p>
    <w:p w14:paraId="1048277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评标委员会按照第三章“评标办法”规定的方法、评审因素、标准和程序对投标文件进行评审。第三章“评标办法”没有规定的方法、评审因素和标准，不作为评标依据。</w:t>
      </w:r>
    </w:p>
    <w:p w14:paraId="565A62B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 评标结果公示</w:t>
      </w:r>
    </w:p>
    <w:p w14:paraId="467A5D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6.4.1招标人在收到评标报告之日起3日内在本招标项目招标公告发布的同一媒介发布评标结果公示，公示期不少于3日。</w:t>
      </w:r>
    </w:p>
    <w:p w14:paraId="051FCF4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5DA64F0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7 合同授予</w:t>
      </w:r>
    </w:p>
    <w:p w14:paraId="07CA303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 定标方式</w:t>
      </w:r>
    </w:p>
    <w:p w14:paraId="1A50F79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招标人依据评标委员会推荐的中标候选人依法确定中标人，评标委员会推荐中标候选人的人数见第三章“评标办法”。评标委员会推荐中标候选人的人数见“投标人须知前附表”。</w:t>
      </w:r>
    </w:p>
    <w:p w14:paraId="0D4826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 中标通知及中标结果公告</w:t>
      </w:r>
    </w:p>
    <w:p w14:paraId="1D645C3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7.2.1 评标结果公示期满无异议或投诉的，招标人按规定的格式以书面形式向中标人发出中标通知书。</w:t>
      </w:r>
    </w:p>
    <w:p w14:paraId="13AA5E6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 履约保证金</w:t>
      </w:r>
    </w:p>
    <w:p w14:paraId="6DA239A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4162BD8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7.3.2 中标人不能按本章第7.3.1项要求提交履约保证金的，视为放弃中标，其投标保证金不予退还，给招标人造成的损失超过投标保证金数额的，中标人还应当对超过部分予以赔偿。</w:t>
      </w:r>
    </w:p>
    <w:p w14:paraId="3020B2E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6FAE53B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7.3.4 因中标人原因，延误工期的，按延误工期比例扣收履约保证金。</w:t>
      </w:r>
    </w:p>
    <w:p w14:paraId="77515D2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 签订合同</w:t>
      </w:r>
    </w:p>
    <w:p w14:paraId="07F1288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512645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8B0576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7.4.3 发出中标通知书后，招标人无正当理由拒签合同的，由有关行政监督部门给予警告，责令改正。同时招标人向中标人退还投标保证金；给中标人造成损失的，还应当赔偿损失。</w:t>
      </w:r>
    </w:p>
    <w:p w14:paraId="20CCADD7">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8 纪律和监督</w:t>
      </w:r>
    </w:p>
    <w:p w14:paraId="7AD9E23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8.1 对招标人的纪律要求</w:t>
      </w:r>
    </w:p>
    <w:p w14:paraId="65B7B4D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招标人不得泄漏招标投标活动中应当保密的情况和资料，不得与投标人串通损害国家利益、社会公共利益或者他人合法权益。</w:t>
      </w:r>
    </w:p>
    <w:p w14:paraId="601ADD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8.2 对投标人的纪律要求</w:t>
      </w:r>
    </w:p>
    <w:p w14:paraId="768EAB1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03FAED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8.3 对评标委员会成员的纪律要求</w:t>
      </w:r>
    </w:p>
    <w:p w14:paraId="1BF66D3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29646E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8.4 对与评标活动有关的工作人员的纪律要求</w:t>
      </w:r>
    </w:p>
    <w:p w14:paraId="68657EE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3D759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 异议与投诉</w:t>
      </w:r>
    </w:p>
    <w:p w14:paraId="0F5BE9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8.5.1异议</w:t>
      </w:r>
    </w:p>
    <w:p w14:paraId="50A0518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投标人或者其他利害关系人对招标文件有异议的，应在投标人须知前附表规定的时间前提出。招标人应当自收到异议之日起3日内作出答复；作出答复前，应当暂停招标投标活动。</w:t>
      </w:r>
    </w:p>
    <w:p w14:paraId="03420E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投标人对开标有异议的，应当在开标现场提出，招标人应当当场作出答复，并制作记录。</w:t>
      </w:r>
    </w:p>
    <w:p w14:paraId="22BFBD0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投标人或者其他利害关系人对依法必须进行招标的项目的评标结果有异议的，应当在中标候选人公示期间提出。</w:t>
      </w:r>
    </w:p>
    <w:p w14:paraId="53B977F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8.5.2投诉</w:t>
      </w:r>
    </w:p>
    <w:p w14:paraId="509793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2E33C5C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9 解释权</w:t>
      </w:r>
    </w:p>
    <w:p w14:paraId="302F31D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BC6E15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10 招标人补充的其他内容</w:t>
      </w:r>
    </w:p>
    <w:p w14:paraId="6FD9B73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10.1、见“投标人须知前附表”。</w:t>
      </w:r>
    </w:p>
    <w:p w14:paraId="65A2065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10.2招标项目中的专项工程暂估，必须经招标人确定才可实施，否则发包人不予认可。</w:t>
      </w:r>
    </w:p>
    <w:p w14:paraId="16C681B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 投标有效期</w:t>
      </w:r>
    </w:p>
    <w:p w14:paraId="7DF9FC3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37992F9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120006E">
      <w:pPr>
        <w:shd w:val="clear" w:color="auto" w:fill="FFFFFF"/>
        <w:tabs>
          <w:tab w:val="left" w:pos="425"/>
        </w:tabs>
        <w:adjustRightInd w:val="0"/>
        <w:snapToGrid w:val="0"/>
        <w:spacing w:before="120" w:beforeLines="50" w:after="120" w:afterLines="50"/>
        <w:ind w:firstLine="640"/>
        <w:jc w:val="right"/>
        <w:rPr>
          <w:rFonts w:ascii="宋体" w:hAnsi="宋体" w:cs="宋体"/>
          <w:color w:val="000000" w:themeColor="text1"/>
          <w:szCs w:val="21"/>
          <w:highlight w:val="none"/>
          <w14:textFill>
            <w14:solidFill>
              <w14:schemeClr w14:val="tx1"/>
            </w14:solidFill>
          </w14:textFill>
        </w:rPr>
        <w:sectPr>
          <w:footerReference r:id="rId3" w:type="first"/>
          <w:pgSz w:w="11906" w:h="16838"/>
          <w:pgMar w:top="1361" w:right="1497" w:bottom="1361" w:left="1497" w:header="850" w:footer="992" w:gutter="0"/>
          <w:pgNumType w:start="1"/>
          <w:cols w:space="0" w:num="1"/>
          <w:titlePg/>
          <w:rtlGutter w:val="0"/>
          <w:docGrid w:linePitch="312" w:charSpace="0"/>
        </w:sectPr>
      </w:pPr>
    </w:p>
    <w:p w14:paraId="6CA5A4D8">
      <w:pPr>
        <w:pStyle w:val="2"/>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000000" w:themeColor="text1"/>
          <w:szCs w:val="21"/>
          <w:highlight w:val="none"/>
          <w:lang w:eastAsia="zh-CN"/>
          <w14:textFill>
            <w14:solidFill>
              <w14:schemeClr w14:val="tx1"/>
            </w14:solidFill>
          </w14:textFill>
        </w:rPr>
      </w:pPr>
      <w:bookmarkStart w:id="7" w:name="_Toc6447"/>
      <w:r>
        <w:rPr>
          <w:rFonts w:hint="eastAsia" w:ascii="宋体" w:hAnsi="宋体" w:eastAsia="宋体"/>
          <w:b/>
          <w:bCs/>
          <w:color w:val="000000" w:themeColor="text1"/>
          <w:sz w:val="32"/>
          <w:szCs w:val="32"/>
          <w:highlight w:val="none"/>
          <w14:textFill>
            <w14:solidFill>
              <w14:schemeClr w14:val="tx1"/>
            </w14:solidFill>
          </w14:textFill>
        </w:rPr>
        <w:t>第三章  评标办法</w:t>
      </w:r>
      <w:bookmarkEnd w:id="7"/>
      <w:r>
        <w:rPr>
          <w:rFonts w:hint="eastAsia" w:ascii="宋体" w:hAnsi="宋体"/>
          <w:b/>
          <w:bCs/>
          <w:color w:val="000000" w:themeColor="text1"/>
          <w:sz w:val="32"/>
          <w:szCs w:val="32"/>
          <w:highlight w:val="none"/>
          <w:lang w:eastAsia="zh-CN"/>
          <w14:textFill>
            <w14:solidFill>
              <w14:schemeClr w14:val="tx1"/>
            </w14:solidFill>
          </w14:textFill>
        </w:rPr>
        <w:t>（</w:t>
      </w:r>
      <w:r>
        <w:rPr>
          <w:rFonts w:hint="eastAsia" w:ascii="宋体" w:hAnsi="宋体"/>
          <w:b/>
          <w:bCs/>
          <w:color w:val="000000" w:themeColor="text1"/>
          <w:sz w:val="32"/>
          <w:szCs w:val="32"/>
          <w:highlight w:val="none"/>
          <w:lang w:val="en-US" w:eastAsia="zh-CN"/>
          <w14:textFill>
            <w14:solidFill>
              <w14:schemeClr w14:val="tx1"/>
            </w14:solidFill>
          </w14:textFill>
        </w:rPr>
        <w:t>合理低价法</w:t>
      </w:r>
      <w:r>
        <w:rPr>
          <w:rFonts w:hint="eastAsia" w:ascii="宋体" w:hAnsi="宋体"/>
          <w:b/>
          <w:bCs/>
          <w:color w:val="000000" w:themeColor="text1"/>
          <w:sz w:val="32"/>
          <w:szCs w:val="32"/>
          <w:highlight w:val="none"/>
          <w:lang w:eastAsia="zh-CN"/>
          <w14:textFill>
            <w14:solidFill>
              <w14:schemeClr w14:val="tx1"/>
            </w14:solidFill>
          </w14:textFill>
        </w:rPr>
        <w:t>）</w:t>
      </w:r>
    </w:p>
    <w:p w14:paraId="0B49775B">
      <w:pPr>
        <w:widowControl w:val="0"/>
        <w:tabs>
          <w:tab w:val="left" w:pos="632"/>
        </w:tabs>
        <w:spacing w:line="360" w:lineRule="auto"/>
        <w:ind w:firstLine="480" w:firstLineChars="200"/>
        <w:jc w:val="both"/>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本次招标评标方法为“合理低价法”。指</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投标文件满足招标文件全部实质性要求且按照评审因素的量化指标评审得分最高的投标人为中标候选人的评标方法。得分相同的，按投标报价由低到高排列。得分且投标报价相同的，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由招标人抽取确定</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资格审查</w:t>
      </w:r>
    </w:p>
    <w:p w14:paraId="7A0C6029">
      <w:pPr>
        <w:tabs>
          <w:tab w:val="left" w:pos="360"/>
        </w:tabs>
        <w:spacing w:line="4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000000" w:themeColor="text1"/>
          <w:sz w:val="24"/>
          <w:szCs w:val="24"/>
          <w:highlight w:val="none"/>
          <w14:textFill>
            <w14:solidFill>
              <w14:schemeClr w14:val="tx1"/>
            </w14:solidFill>
          </w14:textFill>
        </w:rPr>
      </w:pPr>
      <w:r>
        <w:rPr>
          <w:rFonts w:hint="eastAsia" w:ascii="宋体" w:hAnsi="宋体" w:cs="Arial"/>
          <w:b/>
          <w:color w:val="000000" w:themeColor="text1"/>
          <w:sz w:val="24"/>
          <w:szCs w:val="24"/>
          <w:highlight w:val="none"/>
          <w:lang w:val="en-US" w:eastAsia="zh-CN"/>
          <w14:textFill>
            <w14:solidFill>
              <w14:schemeClr w14:val="tx1"/>
            </w14:solidFill>
          </w14:textFill>
        </w:rPr>
        <w:t>2、</w:t>
      </w:r>
      <w:r>
        <w:rPr>
          <w:rFonts w:hint="eastAsia" w:ascii="宋体" w:hAnsi="宋体" w:cs="Arial"/>
          <w:b/>
          <w:color w:val="000000" w:themeColor="text1"/>
          <w:sz w:val="24"/>
          <w:szCs w:val="24"/>
          <w:highlight w:val="none"/>
          <w14:textFill>
            <w14:solidFill>
              <w14:schemeClr w14:val="tx1"/>
            </w14:solidFill>
          </w14:textFill>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2.6项目负责人及被授权委托人（如果有）养老保险证明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2.7</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r>
        <w:rPr>
          <w:rFonts w:hint="eastAsia" w:ascii="宋体" w:hAnsi="宋体"/>
          <w:color w:val="000000" w:themeColor="text1"/>
          <w:sz w:val="24"/>
          <w:highlight w:val="none"/>
          <w:lang w:val="en-US" w:eastAsia="zh-CN"/>
          <w14:textFill>
            <w14:solidFill>
              <w14:schemeClr w14:val="tx1"/>
            </w14:solidFill>
          </w14:textFill>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招标文件规定须审查的以及投标人认为应该提供的其他资料复印件</w:t>
      </w:r>
      <w:r>
        <w:rPr>
          <w:rFonts w:hint="eastAsia" w:ascii="宋体" w:hAnsi="宋体"/>
          <w:color w:val="000000" w:themeColor="text1"/>
          <w:sz w:val="24"/>
          <w:szCs w:val="24"/>
          <w:highlight w:val="none"/>
          <w:lang w:val="en-US" w:eastAsia="zh-CN"/>
          <w14:textFill>
            <w14:solidFill>
              <w14:schemeClr w14:val="tx1"/>
            </w14:solidFill>
          </w14:textFill>
        </w:rPr>
        <w:t>加盖投标单位公章的复印件</w:t>
      </w:r>
      <w:r>
        <w:rPr>
          <w:rFonts w:hint="eastAsia" w:ascii="宋体" w:hAnsi="宋体"/>
          <w:color w:val="000000" w:themeColor="text1"/>
          <w:sz w:val="24"/>
          <w:szCs w:val="24"/>
          <w:highlight w:val="none"/>
          <w:lang w:eastAsia="zh-CN"/>
          <w14:textFill>
            <w14:solidFill>
              <w14:schemeClr w14:val="tx1"/>
            </w14:solidFill>
          </w14:textFill>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上述资格审查材料须为原件彩色扫描件并加盖单位公章、投标人未提交上述资料或资料不全的，则不予通过资格审查。</w:t>
      </w:r>
    </w:p>
    <w:p w14:paraId="605FF1B7">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bookmarkStart w:id="8" w:name="_Toc291610642"/>
      <w:r>
        <w:rPr>
          <w:rFonts w:hint="eastAsia" w:ascii="宋体" w:hAnsi="宋体" w:cs="宋体"/>
          <w:b/>
          <w:bCs/>
          <w:color w:val="000000" w:themeColor="text1"/>
          <w:sz w:val="24"/>
          <w:szCs w:val="24"/>
          <w:highlight w:val="none"/>
          <w14:textFill>
            <w14:solidFill>
              <w14:schemeClr w14:val="tx1"/>
            </w14:solidFill>
          </w14:textFill>
        </w:rPr>
        <w:t>3、投标保证金有效性审查标准</w:t>
      </w:r>
      <w:bookmarkEnd w:id="8"/>
    </w:p>
    <w:p w14:paraId="09F13BBD">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存在下列情况之一的投标保证金无效，投标文件作无效标书处理：</w:t>
      </w:r>
    </w:p>
    <w:p w14:paraId="479BF49D">
      <w:pPr>
        <w:pStyle w:val="15"/>
        <w:keepNext w:val="0"/>
        <w:keepLines w:val="0"/>
        <w:pageBreakBefore w:val="0"/>
        <w:widowControl w:val="0"/>
        <w:kinsoku/>
        <w:wordWrap/>
        <w:overflowPunct/>
        <w:topLinePunct w:val="0"/>
        <w:autoSpaceDE/>
        <w:autoSpaceDN/>
        <w:bidi w:val="0"/>
        <w:snapToGrid/>
        <w:spacing w:line="360" w:lineRule="auto"/>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（1）投标保证金未按前附表递交的</w:t>
      </w:r>
    </w:p>
    <w:p w14:paraId="6EB95052">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4、投标文件评审</w:t>
      </w:r>
    </w:p>
    <w:p w14:paraId="00170D3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凡投标文件有下列情况之一的，按废标处理：</w:t>
      </w:r>
    </w:p>
    <w:p w14:paraId="76181E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投标文件中的投标函未加盖投标人的公章；</w:t>
      </w:r>
    </w:p>
    <w:p w14:paraId="5AB438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投标文件中的投标函未加盖企业法定代表人（或企业法定代表人委托代理人）印章（或签字）的；</w:t>
      </w:r>
    </w:p>
    <w:p w14:paraId="57F5DC5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如投标函加盖企业法定代表人委托代理人印章（或签字）的，企业法定代表人委托代理人没有合法、有效的委托书（原件）的；</w:t>
      </w:r>
    </w:p>
    <w:p w14:paraId="477EE6B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 投标报价低于成本或者高于招标文件</w:t>
      </w:r>
      <w:r>
        <w:rPr>
          <w:rFonts w:hint="eastAsia" w:ascii="宋体" w:hAnsi="宋体" w:cs="宋体"/>
          <w:b/>
          <w:color w:val="000000" w:themeColor="text1"/>
          <w:sz w:val="24"/>
          <w:szCs w:val="24"/>
          <w:highlight w:val="none"/>
          <w14:textFill>
            <w14:solidFill>
              <w14:schemeClr w14:val="tx1"/>
            </w14:solidFill>
          </w14:textFill>
        </w:rPr>
        <w:t>设定的</w:t>
      </w:r>
      <w:r>
        <w:rPr>
          <w:rFonts w:hint="eastAsia" w:ascii="宋体" w:hAnsi="宋体" w:cs="宋体"/>
          <w:b/>
          <w:color w:val="000000" w:themeColor="text1"/>
          <w:sz w:val="24"/>
          <w:szCs w:val="24"/>
          <w:highlight w:val="none"/>
          <w:lang w:eastAsia="zh-CN"/>
          <w14:textFill>
            <w14:solidFill>
              <w14:schemeClr w14:val="tx1"/>
            </w14:solidFill>
          </w14:textFill>
        </w:rPr>
        <w:t>最高投标限价</w:t>
      </w:r>
      <w:r>
        <w:rPr>
          <w:rFonts w:hint="eastAsia" w:ascii="宋体" w:hAnsi="宋体" w:cs="宋体"/>
          <w:b/>
          <w:color w:val="000000" w:themeColor="text1"/>
          <w:sz w:val="24"/>
          <w:szCs w:val="24"/>
          <w:highlight w:val="none"/>
          <w14:textFill>
            <w14:solidFill>
              <w14:schemeClr w14:val="tx1"/>
            </w14:solidFill>
          </w14:textFill>
        </w:rPr>
        <w:t>；</w:t>
      </w:r>
    </w:p>
    <w:p w14:paraId="06AC82C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 同一投标人提交两个及以上不同的投标文件或者投标报价，但招标文件要求提交备选投标的除外；</w:t>
      </w:r>
    </w:p>
    <w:p w14:paraId="7A84B63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 与招标文件规定的暂估价、暂列金额不一致的；</w:t>
      </w:r>
    </w:p>
    <w:p w14:paraId="1B753B0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 与招标文件明确列出的不可竞争费用项目或费率不一致的；</w:t>
      </w:r>
    </w:p>
    <w:p w14:paraId="08FF345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 与招标文件提供的工程量清单中的项目编码、项目名称、项目特征、计量单位、工程量不一致的；</w:t>
      </w:r>
    </w:p>
    <w:p w14:paraId="4658606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 投标文件载明的招标项目完成期限超过招标文件规定的期限的；</w:t>
      </w:r>
    </w:p>
    <w:p w14:paraId="0E7E3DB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 明显不符合技术规范、技术标准的要求的；</w:t>
      </w:r>
    </w:p>
    <w:p w14:paraId="11904C6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 投标文件载明的货物包装方式、检验标准和方法等不符合招标文件的要求的；</w:t>
      </w:r>
    </w:p>
    <w:p w14:paraId="20FF47C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 投标文件提出了不能满足招标文件要求或招标人不能接受的工程验收、计量、价款结算和支付办法的；</w:t>
      </w:r>
    </w:p>
    <w:p w14:paraId="6A7B9C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 不同投标人的投标文件以及投标文件制作过程出现了评标委员会认为不应当雷同的情况的；</w:t>
      </w:r>
    </w:p>
    <w:p w14:paraId="1FBFA3D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 以他人的名义投标、串通投标、以行贿手段谋取中标或者以其他弄虚作假方式投标的；</w:t>
      </w:r>
    </w:p>
    <w:p w14:paraId="0381F35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（15） 未按招标文件规定的格式填写，内容不全或关键字迹模糊、无法辨认的；</w:t>
      </w:r>
    </w:p>
    <w:p w14:paraId="68EFD25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（16） 按招标文件约定应参加开标会的人员，未携带有效居民身份证件参加开标会议或未参加开标会议的；</w:t>
      </w:r>
    </w:p>
    <w:p w14:paraId="6C588EA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 未对招标文件中有关工期、投标有效期、质量要求、技术标准和要求、招标范围等实质性内容作出响应的；</w:t>
      </w:r>
    </w:p>
    <w:p w14:paraId="79B7EFB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（18） 投标人被国家、江苏省省级有关部门及盐城市市级有关部门和响水县县级有关部门限制招投标或者所受到限制但未过公示期的。</w:t>
      </w:r>
    </w:p>
    <w:p w14:paraId="4DDCB0F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 投标人因违法违规、违约、失信等原因被响水县有关部门限制投标的。</w:t>
      </w:r>
    </w:p>
    <w:p w14:paraId="27E8E38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（20） 不按评标委员会要求澄清、说明或补正的。</w:t>
      </w:r>
    </w:p>
    <w:p w14:paraId="1A50E155">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default"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5、商务评审</w:t>
      </w:r>
    </w:p>
    <w:p w14:paraId="7F922718">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对通过资格审查、符合性评审的投标人的投标文件进行商务性评审，商务性评审按以下程序进行：</w:t>
      </w:r>
    </w:p>
    <w:p w14:paraId="755B572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1、有效投标报价：</w:t>
      </w:r>
    </w:p>
    <w:p w14:paraId="76B0DD1F">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（1）投标人的报价符合招标文件、招标答疑的要求，且经评审不低于成本。</w:t>
      </w:r>
    </w:p>
    <w:p w14:paraId="2B2B596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（2）投标人的报价不高于</w:t>
      </w:r>
      <w:r>
        <w:rPr>
          <w:rFonts w:hint="eastAsia" w:ascii="宋体" w:hAnsi="宋体" w:eastAsia="宋体" w:cs="宋体"/>
          <w:color w:val="000000" w:themeColor="text1"/>
          <w:sz w:val="24"/>
          <w:szCs w:val="24"/>
          <w:highlight w:val="none"/>
          <w:lang w:eastAsia="zh-CN"/>
          <w14:textFill>
            <w14:solidFill>
              <w14:schemeClr w14:val="tx1"/>
            </w14:solidFill>
          </w14:textFill>
        </w:rPr>
        <w:t>最高投标限价</w:t>
      </w:r>
      <w:r>
        <w:rPr>
          <w:rFonts w:hint="eastAsia" w:ascii="宋体" w:hAnsi="宋体" w:eastAsia="宋体" w:cs="宋体"/>
          <w:color w:val="000000" w:themeColor="text1"/>
          <w:sz w:val="24"/>
          <w:szCs w:val="24"/>
          <w:highlight w:val="none"/>
          <w14:textFill>
            <w14:solidFill>
              <w14:schemeClr w14:val="tx1"/>
            </w14:solidFill>
          </w14:textFill>
        </w:rPr>
        <w:t>。</w:t>
      </w:r>
    </w:p>
    <w:p w14:paraId="6E156E0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（3）在其他评审环节未被判废标的。</w:t>
      </w:r>
    </w:p>
    <w:p w14:paraId="1DF6CD86">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不符合上述（1）、（2）、（3）项中任意一项要求的，为无效投标报价，无效投标报价不参与评审。</w:t>
      </w:r>
    </w:p>
    <w:p w14:paraId="274170D4">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2、评标基准价=A*K，</w:t>
      </w:r>
      <w:r>
        <w:rPr>
          <w:rFonts w:hint="eastAsia" w:ascii="宋体" w:hAnsi="宋体" w:eastAsia="宋体" w:cs="宋体"/>
          <w:color w:val="000000" w:themeColor="text1"/>
          <w:sz w:val="24"/>
          <w:szCs w:val="24"/>
          <w:highlight w:val="none"/>
          <w:lang w:val="en-US" w:eastAsia="zh-CN"/>
          <w14:textFill>
            <w14:solidFill>
              <w14:schemeClr w14:val="tx1"/>
            </w14:solidFill>
          </w14:textFill>
        </w:rPr>
        <w:t>K值由招标人随机抽取确定</w:t>
      </w:r>
      <w:r>
        <w:rPr>
          <w:rFonts w:hint="eastAsia" w:ascii="宋体" w:hAnsi="宋体" w:eastAsia="宋体" w:cs="宋体"/>
          <w:color w:val="000000" w:themeColor="text1"/>
          <w:sz w:val="24"/>
          <w:szCs w:val="24"/>
          <w:highlight w:val="none"/>
          <w14:textFill>
            <w14:solidFill>
              <w14:schemeClr w14:val="tx1"/>
            </w14:solidFill>
          </w14:textFill>
        </w:rPr>
        <w:t>，K值的取值范围为96%</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9</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98%</w:t>
      </w:r>
      <w:r>
        <w:rPr>
          <w:rFonts w:hint="eastAsia" w:ascii="宋体" w:hAnsi="宋体" w:eastAsia="宋体" w:cs="宋体"/>
          <w:color w:val="000000" w:themeColor="text1"/>
          <w:sz w:val="24"/>
          <w:szCs w:val="24"/>
          <w:highlight w:val="none"/>
          <w14:textFill>
            <w14:solidFill>
              <w14:schemeClr w14:val="tx1"/>
            </w14:solidFill>
          </w14:textFill>
        </w:rPr>
        <w:t>。</w:t>
      </w:r>
    </w:p>
    <w:p w14:paraId="39034B38">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olor w:val="000000" w:themeColor="text1"/>
          <w:sz w:val="24"/>
          <w:szCs w:val="24"/>
          <w:highlight w:val="none"/>
          <w14:textFill>
            <w14:solidFill>
              <w14:schemeClr w14:val="tx1"/>
            </w14:solidFill>
          </w14:textFill>
        </w:rPr>
        <w:t>评标基准价=A×K，以有效投标文件的评标价算术平均值为A，（计算算术平均值A时：若有效投标文件3≤有效投标文件&lt;7家时，取算术平均值；若7≤有效投标文件&lt;10家时，去掉其中一个最高价和一个最低价；若有效投标文件≥10家，去掉其中的二个最高价和二个最低价）。</w:t>
      </w:r>
    </w:p>
    <w:p w14:paraId="0C05B6E7">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3、投标报价得分100分。</w:t>
      </w:r>
    </w:p>
    <w:p w14:paraId="43F115E3">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评标价等于评标基准价的得满分100分；偏离评标基准价的，评标价与评标基准价相减，每高评标基准价1%的扣0.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分，评标价与评标基准价相减，每低评标基准价1%的扣0.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分，偏离不足1%的，用插入法计算。报价得分保留两位小数(第三位四舍五入)。</w:t>
      </w:r>
    </w:p>
    <w:p w14:paraId="4E80CE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注</w:t>
      </w:r>
      <w:r>
        <w:rPr>
          <w:rFonts w:hint="eastAsia" w:ascii="宋体" w:hAnsi="宋体" w:eastAsia="宋体" w:cs="宋体"/>
          <w:color w:val="000000" w:themeColor="text1"/>
          <w:sz w:val="24"/>
          <w:szCs w:val="24"/>
          <w:highlight w:val="none"/>
          <w14:textFill>
            <w14:solidFill>
              <w14:schemeClr w14:val="tx1"/>
            </w14:solidFill>
          </w14:textFill>
        </w:rPr>
        <w:t>：除确认存在计算错误外，评标基准价不因招投标当事人质疑、投诉、复议以及其它任何情形而改变；</w:t>
      </w:r>
    </w:p>
    <w:p w14:paraId="496043B9">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6</w:t>
      </w:r>
      <w:r>
        <w:rPr>
          <w:rFonts w:hint="eastAsia" w:ascii="宋体" w:hAnsi="宋体" w:cs="宋体"/>
          <w:b/>
          <w:bCs/>
          <w:color w:val="000000" w:themeColor="text1"/>
          <w:sz w:val="24"/>
          <w:szCs w:val="24"/>
          <w:highlight w:val="none"/>
          <w14:textFill>
            <w14:solidFill>
              <w14:schemeClr w14:val="tx1"/>
            </w14:solidFill>
          </w14:textFill>
        </w:rPr>
        <w:t>、投标报价错误的修正</w:t>
      </w:r>
    </w:p>
    <w:p w14:paraId="35E75E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评标委员会按以下原则对投标报价进行修正，修正的价格经投标人书面同意后具有约束力。投标人不接受修正价格的，不按评标委员会要求澄清、说明或补正的，其投标作废标处理。</w:t>
      </w:r>
    </w:p>
    <w:p w14:paraId="0CEEBD4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投标文件中的大写金额与小写金额不一致时，以大写金额为准。</w:t>
      </w:r>
    </w:p>
    <w:p w14:paraId="42A6C1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总价金额与依据单价计算出的结果不一致的，以单价金额为准修正总价，但单价金额小数点有明显错误的除外。</w:t>
      </w:r>
    </w:p>
    <w:p w14:paraId="2E2D076F">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7</w:t>
      </w:r>
      <w:r>
        <w:rPr>
          <w:rFonts w:hint="eastAsia" w:ascii="宋体" w:hAnsi="宋体" w:cs="宋体"/>
          <w:b/>
          <w:bCs/>
          <w:color w:val="000000" w:themeColor="text1"/>
          <w:sz w:val="24"/>
          <w:szCs w:val="24"/>
          <w:highlight w:val="none"/>
          <w14:textFill>
            <w14:solidFill>
              <w14:schemeClr w14:val="tx1"/>
            </w14:solidFill>
          </w14:textFill>
        </w:rPr>
        <w:t>、投标文件的澄清</w:t>
      </w:r>
    </w:p>
    <w:p w14:paraId="46802B1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.1 在评标过程中，评标委员会应当以书面形式要求投标人对所提交投标文件中不明确的内容进行书面澄清或说明，或者对细微偏差进行补正。评标委员会不接受投标人主动提出的澄清、说明或补正。</w:t>
      </w:r>
    </w:p>
    <w:p w14:paraId="673822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.2 澄清、说明和补正不得改变投标文件的实质性内容（算术性错误修正的除外）。投标人的书面澄清、说明和补正属于投标文件的组成部分。</w:t>
      </w:r>
    </w:p>
    <w:p w14:paraId="705AB2A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.3 评标委员会对投标人提交的澄清、说明或补正有疑问的，可以要求投标人进一步澄清、说明或补正。</w:t>
      </w:r>
    </w:p>
    <w:p w14:paraId="72272279">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3D35FC44">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sz w:val="24"/>
          <w:szCs w:val="24"/>
          <w:highlight w:val="none"/>
          <w14:textFill>
            <w14:solidFill>
              <w14:schemeClr w14:val="tx1"/>
            </w14:solidFill>
          </w14:textFill>
        </w:rPr>
        <w:t>、推荐中标候选人</w:t>
      </w:r>
    </w:p>
    <w:p w14:paraId="786D0950">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评标委员会根据本评标办法推荐1名中标候选人。</w:t>
      </w:r>
    </w:p>
    <w:p w14:paraId="7EF37322">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B8B5C4D">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 评标委员会完成评标后，应当向招标人提交书面评标报告</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79907F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24576206">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发出中标通知书后，招标人无正当理由拒签合同的，由有关行政监督部门给予警告，责令改正。同时招标人向中标人退还投标保证金；给中标人造成损失的，还应当赔偿损失。</w:t>
      </w:r>
    </w:p>
    <w:p w14:paraId="49BE7028">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注：若排名第一的中标候选人放弃中标，扣除其相应投标保证金。</w:t>
      </w:r>
    </w:p>
    <w:p w14:paraId="6D14D970">
      <w:pPr>
        <w:pStyle w:val="2"/>
        <w:numPr>
          <w:ilvl w:val="0"/>
          <w:numId w:val="0"/>
        </w:numPr>
        <w:jc w:val="both"/>
        <w:rPr>
          <w:rFonts w:hint="eastAsia" w:ascii="宋体" w:hAnsi="宋体" w:eastAsia="宋体" w:cs="宋体"/>
          <w:b/>
          <w:color w:val="000000" w:themeColor="text1"/>
          <w:sz w:val="36"/>
          <w:szCs w:val="36"/>
          <w:highlight w:val="none"/>
          <w14:textFill>
            <w14:solidFill>
              <w14:schemeClr w14:val="tx1"/>
            </w14:solidFill>
          </w14:textFill>
        </w:rPr>
      </w:pPr>
    </w:p>
    <w:p w14:paraId="7D167BBC">
      <w:pPr>
        <w:rPr>
          <w:rFonts w:hint="eastAsia"/>
          <w:color w:val="000000" w:themeColor="text1"/>
          <w:highlight w:val="none"/>
          <w14:textFill>
            <w14:solidFill>
              <w14:schemeClr w14:val="tx1"/>
            </w14:solidFill>
          </w14:textFill>
        </w:rPr>
      </w:pPr>
    </w:p>
    <w:bookmarkEnd w:id="4"/>
    <w:p w14:paraId="3E24D717">
      <w:pPr>
        <w:rPr>
          <w:rFonts w:hint="eastAsia" w:ascii="宋体" w:hAnsi="宋体" w:eastAsia="宋体" w:cs="宋体"/>
          <w:b/>
          <w:color w:val="000000" w:themeColor="text1"/>
          <w:sz w:val="36"/>
          <w:szCs w:val="36"/>
          <w:highlight w:val="none"/>
          <w14:textFill>
            <w14:solidFill>
              <w14:schemeClr w14:val="tx1"/>
            </w14:solidFill>
          </w14:textFill>
        </w:rPr>
      </w:pPr>
      <w:bookmarkStart w:id="9" w:name="_Toc31726"/>
      <w:r>
        <w:rPr>
          <w:rFonts w:hint="eastAsia" w:ascii="宋体" w:hAnsi="宋体" w:eastAsia="宋体" w:cs="宋体"/>
          <w:b/>
          <w:color w:val="000000" w:themeColor="text1"/>
          <w:sz w:val="36"/>
          <w:szCs w:val="36"/>
          <w:highlight w:val="none"/>
          <w14:textFill>
            <w14:solidFill>
              <w14:schemeClr w14:val="tx1"/>
            </w14:solidFill>
          </w14:textFill>
        </w:rPr>
        <w:br w:type="page"/>
      </w:r>
    </w:p>
    <w:p w14:paraId="7BCE0AA9">
      <w:pPr>
        <w:pStyle w:val="2"/>
        <w:numPr>
          <w:ilvl w:val="0"/>
          <w:numId w:val="0"/>
        </w:numPr>
        <w:jc w:val="center"/>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第四章  工程施工合同</w:t>
      </w:r>
    </w:p>
    <w:p w14:paraId="09EA6172">
      <w:pPr>
        <w:jc w:val="center"/>
        <w:rPr>
          <w:rFonts w:ascii="宋体" w:hAnsi="宋体"/>
          <w:bCs/>
          <w:color w:val="000000" w:themeColor="text1"/>
          <w:sz w:val="32"/>
          <w:szCs w:val="32"/>
          <w:highlight w:val="none"/>
          <w14:textFill>
            <w14:solidFill>
              <w14:schemeClr w14:val="tx1"/>
            </w14:solidFill>
          </w14:textFill>
        </w:rPr>
      </w:pPr>
      <w:r>
        <w:rPr>
          <w:rFonts w:ascii="宋体" w:hAnsi="宋体"/>
          <w:bCs/>
          <w:color w:val="000000" w:themeColor="text1"/>
          <w:sz w:val="32"/>
          <w:szCs w:val="32"/>
          <w:highlight w:val="none"/>
          <w14:textFill>
            <w14:solidFill>
              <w14:schemeClr w14:val="tx1"/>
            </w14:solidFill>
          </w14:textFill>
        </w:rPr>
        <w:t>（GF—201</w:t>
      </w:r>
      <w:r>
        <w:rPr>
          <w:rFonts w:hint="eastAsia" w:ascii="宋体" w:hAnsi="宋体"/>
          <w:bCs/>
          <w:color w:val="000000" w:themeColor="text1"/>
          <w:sz w:val="32"/>
          <w:szCs w:val="32"/>
          <w:highlight w:val="none"/>
          <w14:textFill>
            <w14:solidFill>
              <w14:schemeClr w14:val="tx1"/>
            </w14:solidFill>
          </w14:textFill>
        </w:rPr>
        <w:t>7</w:t>
      </w:r>
      <w:r>
        <w:rPr>
          <w:rFonts w:ascii="宋体" w:hAnsi="宋体"/>
          <w:bCs/>
          <w:color w:val="000000" w:themeColor="text1"/>
          <w:sz w:val="32"/>
          <w:szCs w:val="32"/>
          <w:highlight w:val="none"/>
          <w14:textFill>
            <w14:solidFill>
              <w14:schemeClr w14:val="tx1"/>
            </w14:solidFill>
          </w14:textFill>
        </w:rPr>
        <w:t>—</w:t>
      </w:r>
      <w:r>
        <w:rPr>
          <w:rFonts w:hint="eastAsia" w:ascii="宋体" w:hAnsi="宋体"/>
          <w:bCs/>
          <w:color w:val="000000" w:themeColor="text1"/>
          <w:sz w:val="32"/>
          <w:szCs w:val="32"/>
          <w:highlight w:val="none"/>
          <w14:textFill>
            <w14:solidFill>
              <w14:schemeClr w14:val="tx1"/>
            </w14:solidFill>
          </w14:textFill>
        </w:rPr>
        <w:t>0201）</w:t>
      </w:r>
    </w:p>
    <w:p w14:paraId="755A2326">
      <w:pPr>
        <w:jc w:val="center"/>
        <w:rPr>
          <w:rFonts w:ascii="宋体" w:hAnsi="宋体"/>
          <w:b/>
          <w:color w:val="000000" w:themeColor="text1"/>
          <w:sz w:val="52"/>
          <w:szCs w:val="52"/>
          <w:highlight w:val="none"/>
          <w14:textFill>
            <w14:solidFill>
              <w14:schemeClr w14:val="tx1"/>
            </w14:solidFill>
          </w14:textFill>
        </w:rPr>
      </w:pPr>
    </w:p>
    <w:p w14:paraId="5426C01C">
      <w:pPr>
        <w:pStyle w:val="15"/>
        <w:rPr>
          <w:rFonts w:ascii="宋体" w:hAnsi="宋体"/>
          <w:b/>
          <w:color w:val="000000" w:themeColor="text1"/>
          <w:sz w:val="52"/>
          <w:szCs w:val="52"/>
          <w:highlight w:val="none"/>
          <w14:textFill>
            <w14:solidFill>
              <w14:schemeClr w14:val="tx1"/>
            </w14:solidFill>
          </w14:textFill>
        </w:rPr>
      </w:pPr>
    </w:p>
    <w:p w14:paraId="2FF44393">
      <w:pPr>
        <w:pStyle w:val="15"/>
        <w:rPr>
          <w:rFonts w:ascii="宋体" w:hAnsi="宋体"/>
          <w:b/>
          <w:color w:val="000000" w:themeColor="text1"/>
          <w:sz w:val="52"/>
          <w:szCs w:val="52"/>
          <w:highlight w:val="none"/>
          <w14:textFill>
            <w14:solidFill>
              <w14:schemeClr w14:val="tx1"/>
            </w14:solidFill>
          </w14:textFill>
        </w:rPr>
      </w:pPr>
    </w:p>
    <w:p w14:paraId="1D1D83BC">
      <w:pPr>
        <w:pStyle w:val="15"/>
        <w:ind w:left="0" w:leftChars="0" w:firstLine="0" w:firstLineChars="0"/>
        <w:rPr>
          <w:rFonts w:ascii="宋体" w:hAnsi="宋体"/>
          <w:b/>
          <w:color w:val="000000" w:themeColor="text1"/>
          <w:sz w:val="52"/>
          <w:szCs w:val="52"/>
          <w:highlight w:val="none"/>
          <w14:textFill>
            <w14:solidFill>
              <w14:schemeClr w14:val="tx1"/>
            </w14:solidFill>
          </w14:textFill>
        </w:rPr>
      </w:pPr>
    </w:p>
    <w:p w14:paraId="62D03E2E">
      <w:pPr>
        <w:pStyle w:val="15"/>
        <w:rPr>
          <w:rFonts w:ascii="宋体" w:hAnsi="宋体"/>
          <w:b/>
          <w:color w:val="000000" w:themeColor="text1"/>
          <w:sz w:val="52"/>
          <w:szCs w:val="52"/>
          <w:highlight w:val="none"/>
          <w14:textFill>
            <w14:solidFill>
              <w14:schemeClr w14:val="tx1"/>
            </w14:solidFill>
          </w14:textFill>
        </w:rPr>
      </w:pPr>
    </w:p>
    <w:p w14:paraId="251FF52E">
      <w:pPr>
        <w:jc w:val="center"/>
        <w:rPr>
          <w:rFonts w:ascii="宋体" w:hAnsi="宋体"/>
          <w:b/>
          <w:color w:val="000000" w:themeColor="text1"/>
          <w:sz w:val="52"/>
          <w:szCs w:val="52"/>
          <w:highlight w:val="none"/>
          <w14:textFill>
            <w14:solidFill>
              <w14:schemeClr w14:val="tx1"/>
            </w14:solidFill>
          </w14:textFill>
        </w:rPr>
      </w:pPr>
      <w:r>
        <w:rPr>
          <w:rFonts w:ascii="宋体" w:hAnsi="宋体"/>
          <w:b/>
          <w:color w:val="000000" w:themeColor="text1"/>
          <w:sz w:val="72"/>
          <w:szCs w:val="52"/>
          <w:highlight w:val="none"/>
          <w14:textFill>
            <w14:solidFill>
              <w14:schemeClr w14:val="tx1"/>
            </w14:solidFill>
          </w14:textFill>
        </w:rPr>
        <w:t>建设工程施工合同</w:t>
      </w:r>
      <w:r>
        <w:rPr>
          <w:rFonts w:ascii="宋体" w:hAnsi="宋体"/>
          <w:b/>
          <w:color w:val="000000" w:themeColor="text1"/>
          <w:sz w:val="52"/>
          <w:szCs w:val="52"/>
          <w:highlight w:val="none"/>
          <w14:textFill>
            <w14:solidFill>
              <w14:schemeClr w14:val="tx1"/>
            </w14:solidFill>
          </w14:textFill>
        </w:rPr>
        <w:br w:type="textWrapping"/>
      </w:r>
    </w:p>
    <w:p w14:paraId="02030102">
      <w:pPr>
        <w:jc w:val="center"/>
        <w:rPr>
          <w:rFonts w:ascii="宋体" w:hAnsi="宋体"/>
          <w:b/>
          <w:color w:val="000000" w:themeColor="text1"/>
          <w:sz w:val="72"/>
          <w:szCs w:val="72"/>
          <w:highlight w:val="none"/>
          <w14:textFill>
            <w14:solidFill>
              <w14:schemeClr w14:val="tx1"/>
            </w14:solidFill>
          </w14:textFill>
        </w:rPr>
      </w:pPr>
    </w:p>
    <w:p w14:paraId="70A46A31">
      <w:pPr>
        <w:jc w:val="center"/>
        <w:rPr>
          <w:rFonts w:ascii="宋体" w:hAnsi="宋体"/>
          <w:b/>
          <w:color w:val="000000" w:themeColor="text1"/>
          <w:sz w:val="72"/>
          <w:szCs w:val="72"/>
          <w:highlight w:val="none"/>
          <w14:textFill>
            <w14:solidFill>
              <w14:schemeClr w14:val="tx1"/>
            </w14:solidFill>
          </w14:textFill>
        </w:rPr>
      </w:pPr>
    </w:p>
    <w:p w14:paraId="6A34056B">
      <w:pPr>
        <w:jc w:val="center"/>
        <w:rPr>
          <w:rFonts w:ascii="宋体" w:hAnsi="宋体"/>
          <w:b/>
          <w:color w:val="000000" w:themeColor="text1"/>
          <w:sz w:val="52"/>
          <w:szCs w:val="52"/>
          <w:highlight w:val="none"/>
          <w14:textFill>
            <w14:solidFill>
              <w14:schemeClr w14:val="tx1"/>
            </w14:solidFill>
          </w14:textFill>
        </w:rPr>
      </w:pPr>
    </w:p>
    <w:p w14:paraId="590489D3">
      <w:pPr>
        <w:rPr>
          <w:rFonts w:ascii="宋体" w:hAnsi="宋体"/>
          <w:b/>
          <w:color w:val="000000" w:themeColor="text1"/>
          <w:sz w:val="28"/>
          <w:szCs w:val="28"/>
          <w:highlight w:val="none"/>
          <w14:textFill>
            <w14:solidFill>
              <w14:schemeClr w14:val="tx1"/>
            </w14:solidFill>
          </w14:textFill>
        </w:rPr>
      </w:pPr>
    </w:p>
    <w:p w14:paraId="221B15DF">
      <w:pPr>
        <w:rPr>
          <w:rFonts w:ascii="宋体" w:hAnsi="宋体"/>
          <w:b/>
          <w:color w:val="000000" w:themeColor="text1"/>
          <w:sz w:val="28"/>
          <w:szCs w:val="28"/>
          <w:highlight w:val="none"/>
          <w14:textFill>
            <w14:solidFill>
              <w14:schemeClr w14:val="tx1"/>
            </w14:solidFill>
          </w14:textFill>
        </w:rPr>
      </w:pPr>
    </w:p>
    <w:p w14:paraId="26DC3DD4">
      <w:pPr>
        <w:rPr>
          <w:rFonts w:ascii="宋体" w:hAnsi="宋体"/>
          <w:b/>
          <w:color w:val="000000" w:themeColor="text1"/>
          <w:sz w:val="28"/>
          <w:szCs w:val="28"/>
          <w:highlight w:val="none"/>
          <w14:textFill>
            <w14:solidFill>
              <w14:schemeClr w14:val="tx1"/>
            </w14:solidFill>
          </w14:textFill>
        </w:rPr>
      </w:pPr>
    </w:p>
    <w:p w14:paraId="0518F550">
      <w:pPr>
        <w:rPr>
          <w:rFonts w:ascii="宋体" w:hAnsi="宋体"/>
          <w:b/>
          <w:color w:val="000000" w:themeColor="text1"/>
          <w:sz w:val="28"/>
          <w:szCs w:val="28"/>
          <w:highlight w:val="none"/>
          <w14:textFill>
            <w14:solidFill>
              <w14:schemeClr w14:val="tx1"/>
            </w14:solidFill>
          </w14:textFill>
        </w:rPr>
      </w:pPr>
    </w:p>
    <w:p w14:paraId="0D826379">
      <w:pPr>
        <w:rPr>
          <w:rFonts w:ascii="宋体" w:hAnsi="宋体"/>
          <w:b/>
          <w:color w:val="000000" w:themeColor="text1"/>
          <w:sz w:val="28"/>
          <w:szCs w:val="28"/>
          <w:highlight w:val="none"/>
          <w14:textFill>
            <w14:solidFill>
              <w14:schemeClr w14:val="tx1"/>
            </w14:solidFill>
          </w14:textFill>
        </w:rPr>
      </w:pPr>
    </w:p>
    <w:p w14:paraId="38248DC1">
      <w:pPr>
        <w:ind w:right="2719" w:rightChars="1295"/>
        <w:jc w:val="distribute"/>
        <w:rPr>
          <w:rFonts w:ascii="宋体" w:hAnsi="宋体"/>
          <w:b/>
          <w:color w:val="000000" w:themeColor="text1"/>
          <w:sz w:val="32"/>
          <w:szCs w:val="28"/>
          <w:highlight w:val="none"/>
          <w14:textFill>
            <w14:solidFill>
              <w14:schemeClr w14:val="tx1"/>
            </w14:solidFill>
          </w14:textFill>
        </w:rPr>
      </w:pPr>
      <w:r>
        <w:rPr>
          <w:rFonts w:ascii="宋体" w:hAnsi="宋体"/>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4342130</wp:posOffset>
                </wp:positionH>
                <wp:positionV relativeFrom="paragraph">
                  <wp:posOffset>74930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344624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pt;margin-top:5.9pt;height:36pt;width:57pt;z-index:251659264;mso-width-relative:page;mso-height-relative:page;" filled="f" stroked="t" coordsize="21600,21600" o:gfxdata="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4zCzbXAAAACQEAAA8AAAAAAAAAAQAgAAAAIgAA&#10;AGRycy9kb3ducmV2LnhtbFBLAQIUABQAAAAIAIdO4kDkh2SKCQIAABoEAAAOAAAAAAAAAAEAIAAA&#10;ACYBAABkcnMvZTJvRG9jLnhtbFBLBQYAAAAABgAGAFkBAAChBQAAAAA=&#10;">
                <v:fill on="f" focussize="0,0"/>
                <v:stroke color="#FFFFFF" joinstyle="miter"/>
                <v:imagedata o:title=""/>
                <o:lock v:ext="edit" aspectratio="f"/>
                <v:textbox>
                  <w:txbxContent>
                    <w:p w14:paraId="5344624D">
                      <w:pPr>
                        <w:rPr>
                          <w:b/>
                          <w:bCs/>
                          <w:sz w:val="32"/>
                        </w:rPr>
                      </w:pPr>
                      <w:r>
                        <w:rPr>
                          <w:rFonts w:hint="eastAsia"/>
                          <w:b/>
                          <w:bCs/>
                          <w:sz w:val="32"/>
                        </w:rPr>
                        <w:t>制定</w:t>
                      </w:r>
                    </w:p>
                  </w:txbxContent>
                </v:textbox>
              </v:shape>
            </w:pict>
          </mc:Fallback>
        </mc:AlternateContent>
      </w:r>
      <w:r>
        <w:rPr>
          <w:rFonts w:hint="eastAsia"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住房和城乡建设部</w:t>
      </w:r>
    </w:p>
    <w:p w14:paraId="16C374D1">
      <w:pPr>
        <w:ind w:right="2719" w:rightChars="1295"/>
        <w:jc w:val="distribute"/>
        <w:rPr>
          <w:rFonts w:ascii="宋体" w:hAnsi="宋体"/>
          <w:b/>
          <w:color w:val="000000" w:themeColor="text1"/>
          <w:sz w:val="32"/>
          <w:szCs w:val="28"/>
          <w:highlight w:val="none"/>
          <w14:textFill>
            <w14:solidFill>
              <w14:schemeClr w14:val="tx1"/>
            </w14:solidFill>
          </w14:textFill>
        </w:rPr>
      </w:pPr>
      <w:r>
        <w:rPr>
          <w:rFonts w:hint="eastAsia" w:ascii="宋体" w:hAnsi="宋体"/>
          <w:b/>
          <w:color w:val="000000" w:themeColor="text1"/>
          <w:sz w:val="32"/>
          <w:szCs w:val="28"/>
          <w:highlight w:val="none"/>
          <w14:textFill>
            <w14:solidFill>
              <w14:schemeClr w14:val="tx1"/>
            </w14:solidFill>
          </w14:textFill>
        </w:rPr>
        <w:t xml:space="preserve">     </w:t>
      </w:r>
      <w:r>
        <w:rPr>
          <w:rFonts w:hint="eastAsia" w:ascii="宋体" w:hAnsi="宋体"/>
          <w:b/>
          <w:color w:val="000000" w:themeColor="text1"/>
          <w:sz w:val="32"/>
          <w:szCs w:val="28"/>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国家工商行政管理总局</w:t>
      </w:r>
    </w:p>
    <w:p w14:paraId="2F417632">
      <w:pPr>
        <w:spacing w:line="500" w:lineRule="exact"/>
        <w:ind w:left="-1" w:firstLine="480" w:firstLineChars="200"/>
        <w:rPr>
          <w:rFonts w:hint="eastAsia" w:ascii="宋体" w:hAnsi="宋体" w:eastAsia="宋体" w:cs="宋体"/>
          <w:color w:val="000000" w:themeColor="text1"/>
          <w:sz w:val="24"/>
          <w:highlight w:val="none"/>
          <w14:textFill>
            <w14:solidFill>
              <w14:schemeClr w14:val="tx1"/>
            </w14:solidFill>
          </w14:textFill>
        </w:rPr>
      </w:pPr>
    </w:p>
    <w:p w14:paraId="15B5E5FB">
      <w:pPr>
        <w:spacing w:line="500" w:lineRule="exact"/>
        <w:rPr>
          <w:rFonts w:hint="eastAsia" w:ascii="宋体" w:hAnsi="宋体" w:eastAsia="宋体" w:cs="宋体"/>
          <w:color w:val="000000" w:themeColor="text1"/>
          <w:sz w:val="24"/>
          <w:highlight w:val="none"/>
          <w14:textFill>
            <w14:solidFill>
              <w14:schemeClr w14:val="tx1"/>
            </w14:solidFill>
          </w14:textFill>
        </w:rPr>
      </w:pPr>
    </w:p>
    <w:p w14:paraId="45301005">
      <w:pPr>
        <w:pStyle w:val="24"/>
        <w:jc w:val="center"/>
        <w:rPr>
          <w:rFonts w:eastAsia="华文中宋"/>
          <w:color w:val="000000" w:themeColor="text1"/>
          <w:highlight w:val="none"/>
          <w:lang w:val="zh-CN"/>
          <w14:textFill>
            <w14:solidFill>
              <w14:schemeClr w14:val="tx1"/>
            </w14:solidFill>
          </w14:textFill>
        </w:rPr>
      </w:pPr>
      <w:r>
        <w:rPr>
          <w:rFonts w:hint="eastAsia" w:eastAsia="华文中宋"/>
          <w:color w:val="000000" w:themeColor="text1"/>
          <w:sz w:val="32"/>
          <w:szCs w:val="32"/>
          <w:highlight w:val="none"/>
          <w:lang w:val="zh-CN"/>
          <w14:textFill>
            <w14:solidFill>
              <w14:schemeClr w14:val="tx1"/>
            </w14:solidFill>
          </w14:textFill>
        </w:rPr>
        <w:t>说  明</w:t>
      </w:r>
    </w:p>
    <w:p w14:paraId="492C72D6">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359E107E">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一、《示范文本》的组成</w:t>
      </w:r>
    </w:p>
    <w:p w14:paraId="1863CF8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《示范文本》由合同协议书、通用合同条款和专用合同条款三部分组成。</w:t>
      </w:r>
    </w:p>
    <w:p w14:paraId="033CE363">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（一）合同协议书</w:t>
      </w:r>
    </w:p>
    <w:p w14:paraId="31D2F4D5">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41AEB534">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（二）通用合同条款</w:t>
      </w:r>
    </w:p>
    <w:p w14:paraId="4981FBC1">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通用合同条款是合同当事人根据《中华人民共和国建筑法》、《中华人民共和国合同法》等法律法规的规定，就工程建设的实施及相关事项，对合同当事人的权利义务作出的原则性约定。</w:t>
      </w:r>
    </w:p>
    <w:p w14:paraId="175A5360">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33C68D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（三）专用合同条款</w:t>
      </w:r>
    </w:p>
    <w:p w14:paraId="34DE735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4232E2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1.专用合同条款的编号应与相应的通用合同条款的编号一致；</w:t>
      </w:r>
    </w:p>
    <w:p w14:paraId="2335372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2.合同当事人可以通过对专用合同条款的修改，满足具体建设工程的特殊要求，避免直接修改通用合同条款；</w:t>
      </w:r>
    </w:p>
    <w:p w14:paraId="3234D3DA">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3.在专用合同条款中有横道线的地方，合同当事人可针对相应的通用合同条款进行细化、完善、补充、修改或另行约定；如无细化、完善、补充、修改或另行约定，则填写“无”或划“/”。</w:t>
      </w:r>
    </w:p>
    <w:p w14:paraId="03231CB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二、《示范文本》的性质和适用范围</w:t>
      </w:r>
    </w:p>
    <w:p w14:paraId="2E074E33">
      <w:pPr>
        <w:spacing w:line="500" w:lineRule="exact"/>
        <w:ind w:firstLine="480" w:firstLineChars="200"/>
        <w:rPr>
          <w:rStyle w:val="25"/>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5EA8C68">
      <w:pPr>
        <w:rPr>
          <w:rFonts w:ascii="华文中宋" w:hAnsi="华文中宋" w:eastAsia="华文中宋"/>
          <w:color w:val="000000" w:themeColor="text1"/>
          <w:highlight w:val="none"/>
          <w14:textFill>
            <w14:solidFill>
              <w14:schemeClr w14:val="tx1"/>
            </w14:solidFill>
          </w14:textFill>
        </w:rPr>
      </w:pPr>
      <w:r>
        <w:rPr>
          <w:rFonts w:ascii="华文中宋" w:hAnsi="华文中宋" w:eastAsia="华文中宋"/>
          <w:color w:val="000000" w:themeColor="text1"/>
          <w:highlight w:val="none"/>
          <w14:textFill>
            <w14:solidFill>
              <w14:schemeClr w14:val="tx1"/>
            </w14:solidFill>
          </w14:textFill>
        </w:rPr>
        <w:br w:type="page"/>
      </w:r>
    </w:p>
    <w:p w14:paraId="3D71134F">
      <w:pPr>
        <w:pStyle w:val="4"/>
        <w:spacing w:before="0" w:after="0" w:line="480" w:lineRule="exact"/>
        <w:ind w:firstLine="157"/>
        <w:jc w:val="center"/>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第一部分 合同协议书</w:t>
      </w:r>
    </w:p>
    <w:p w14:paraId="401EEC10">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lang w:val="en-US" w:eastAsia="zh-CN"/>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发包人（全称）：</w:t>
      </w:r>
      <w:r>
        <w:rPr>
          <w:rFonts w:hint="eastAsia" w:ascii="宋体" w:hAnsi="宋体" w:cs="宋体"/>
          <w:b/>
          <w:color w:val="000000" w:themeColor="text1"/>
          <w:sz w:val="22"/>
          <w:szCs w:val="22"/>
          <w:highlight w:val="none"/>
          <w:u w:val="single"/>
          <w:lang w:val="en-US" w:eastAsia="zh-CN"/>
          <w14:textFill>
            <w14:solidFill>
              <w14:schemeClr w14:val="tx1"/>
            </w14:solidFill>
          </w14:textFill>
        </w:rPr>
        <w:t>江苏省盐城市响水县大有镇淮河村村民委员会</w:t>
      </w:r>
    </w:p>
    <w:p w14:paraId="5657F1DB">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承包人（全称）：</w:t>
      </w:r>
    </w:p>
    <w:p w14:paraId="426E0AC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根据《中华人民共和国</w:t>
      </w:r>
      <w:r>
        <w:rPr>
          <w:rFonts w:hint="eastAsia" w:ascii="宋体" w:hAnsi="宋体" w:eastAsia="宋体" w:cs="宋体"/>
          <w:color w:val="000000" w:themeColor="text1"/>
          <w:highlight w:val="none"/>
          <w14:textFill>
            <w14:solidFill>
              <w14:schemeClr w14:val="tx1"/>
            </w14:solidFill>
          </w14:textFill>
        </w:rPr>
        <w:t>民法典</w:t>
      </w:r>
      <w:r>
        <w:rPr>
          <w:rFonts w:hint="eastAsia" w:ascii="宋体" w:hAnsi="宋体" w:eastAsia="宋体" w:cs="宋体"/>
          <w:color w:val="000000" w:themeColor="text1"/>
          <w:sz w:val="22"/>
          <w:szCs w:val="22"/>
          <w:highlight w:val="none"/>
          <w14:textFill>
            <w14:solidFill>
              <w14:schemeClr w14:val="tx1"/>
            </w14:solidFill>
          </w14:textFill>
        </w:rPr>
        <w:t>》、《中华人民共和国建筑法》及有关法律规定，遵循平等、自愿、公平和诚实信用的原则，双方就</w:t>
      </w:r>
      <w:r>
        <w:rPr>
          <w:rFonts w:hint="eastAsia" w:ascii="宋体" w:hAnsi="宋体" w:eastAsia="宋体" w:cs="宋体"/>
          <w:b/>
          <w:bCs/>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color w:val="000000" w:themeColor="text1"/>
          <w:sz w:val="22"/>
          <w:szCs w:val="22"/>
          <w:highlight w:val="none"/>
          <w14:textFill>
            <w14:solidFill>
              <w14:schemeClr w14:val="tx1"/>
            </w14:solidFill>
          </w14:textFill>
        </w:rPr>
        <w:t>施工及有关事项协商一致，共同达成如下协议：</w:t>
      </w:r>
    </w:p>
    <w:p w14:paraId="4EC9DEF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0" w:name="_Toc351203481"/>
      <w:r>
        <w:rPr>
          <w:rFonts w:hint="eastAsia" w:ascii="宋体" w:hAnsi="宋体" w:eastAsia="宋体" w:cs="宋体"/>
          <w:b w:val="0"/>
          <w:color w:val="000000" w:themeColor="text1"/>
          <w:sz w:val="22"/>
          <w:szCs w:val="22"/>
          <w:highlight w:val="none"/>
          <w14:textFill>
            <w14:solidFill>
              <w14:schemeClr w14:val="tx1"/>
            </w14:solidFill>
          </w14:textFill>
        </w:rPr>
        <w:t>一、工程概况</w:t>
      </w:r>
      <w:bookmarkEnd w:id="10"/>
    </w:p>
    <w:p w14:paraId="022D8C11">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1.工程名称</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4E20252">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2.工程地点：</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境内 </w:t>
      </w:r>
      <w:r>
        <w:rPr>
          <w:rFonts w:hint="eastAsia" w:ascii="宋体" w:hAnsi="宋体" w:eastAsia="宋体" w:cs="宋体"/>
          <w:color w:val="000000" w:themeColor="text1"/>
          <w:sz w:val="22"/>
          <w:szCs w:val="22"/>
          <w:highlight w:val="none"/>
          <w14:textFill>
            <w14:solidFill>
              <w14:schemeClr w14:val="tx1"/>
            </w14:solidFill>
          </w14:textFill>
        </w:rPr>
        <w:t>。</w:t>
      </w:r>
    </w:p>
    <w:p w14:paraId="4720713D">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3.工程立项批准文号：</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w:t>
      </w:r>
    </w:p>
    <w:p w14:paraId="38C1C2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4.资金来源：</w:t>
      </w:r>
      <w:r>
        <w:rPr>
          <w:rFonts w:hint="eastAsia" w:ascii="宋体" w:hAnsi="宋体" w:eastAsia="宋体" w:cs="宋体"/>
          <w:color w:val="000000" w:themeColor="text1"/>
          <w:sz w:val="22"/>
          <w:szCs w:val="22"/>
          <w:highlight w:val="none"/>
          <w:u w:val="single"/>
          <w14:textFill>
            <w14:solidFill>
              <w14:schemeClr w14:val="tx1"/>
            </w14:solidFill>
          </w14:textFill>
        </w:rPr>
        <w:t>财政资金</w:t>
      </w:r>
      <w:r>
        <w:rPr>
          <w:rFonts w:hint="eastAsia" w:ascii="宋体" w:hAnsi="宋体" w:eastAsia="宋体" w:cs="宋体"/>
          <w:bCs/>
          <w:color w:val="000000" w:themeColor="text1"/>
          <w:sz w:val="22"/>
          <w:szCs w:val="22"/>
          <w:highlight w:val="none"/>
          <w14:textFill>
            <w14:solidFill>
              <w14:schemeClr w14:val="tx1"/>
            </w14:solidFill>
          </w14:textFill>
        </w:rPr>
        <w:t>。</w:t>
      </w:r>
    </w:p>
    <w:p w14:paraId="7DB034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5.工程内容：</w:t>
      </w:r>
      <w:r>
        <w:rPr>
          <w:rFonts w:hint="eastAsia" w:ascii="宋体" w:hAnsi="宋体" w:eastAsia="宋体" w:cs="宋体"/>
          <w:bCs/>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或</w:t>
      </w:r>
      <w:r>
        <w:rPr>
          <w:rFonts w:hint="eastAsia" w:ascii="宋体" w:hAnsi="宋体" w:eastAsia="宋体" w:cs="宋体"/>
          <w:bCs/>
          <w:color w:val="000000" w:themeColor="text1"/>
          <w:sz w:val="22"/>
          <w:szCs w:val="22"/>
          <w:highlight w:val="none"/>
          <w:u w:val="single"/>
          <w14:textFill>
            <w14:solidFill>
              <w14:schemeClr w14:val="tx1"/>
            </w14:solidFill>
          </w14:textFill>
        </w:rPr>
        <w:t>工程量清单。</w:t>
      </w:r>
    </w:p>
    <w:p w14:paraId="230FFC79">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群体工程应附《承包人承揽工程项目一览表》（附件1）。</w:t>
      </w:r>
    </w:p>
    <w:p w14:paraId="4DB1B175">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6.工程承包范围：</w:t>
      </w:r>
      <w:r>
        <w:rPr>
          <w:rFonts w:hint="eastAsia" w:ascii="宋体" w:hAnsi="宋体" w:eastAsia="宋体" w:cs="宋体"/>
          <w:bCs/>
          <w:color w:val="000000" w:themeColor="text1"/>
          <w:sz w:val="22"/>
          <w:szCs w:val="22"/>
          <w:highlight w:val="none"/>
          <w:u w:val="single"/>
          <w:lang w:eastAsia="zh-CN"/>
          <w14:textFill>
            <w14:solidFill>
              <w14:schemeClr w14:val="tx1"/>
            </w14:solidFill>
          </w14:textFill>
        </w:rPr>
        <w:t>响水县2024年大有镇淮河村宜居宜业和美乡村新增建设项目</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或</w:t>
      </w:r>
      <w:r>
        <w:rPr>
          <w:rFonts w:hint="eastAsia" w:ascii="宋体" w:hAnsi="宋体" w:eastAsia="宋体" w:cs="宋体"/>
          <w:bCs/>
          <w:color w:val="000000" w:themeColor="text1"/>
          <w:sz w:val="22"/>
          <w:szCs w:val="22"/>
          <w:highlight w:val="none"/>
          <w:u w:val="single"/>
          <w14:textFill>
            <w14:solidFill>
              <w14:schemeClr w14:val="tx1"/>
            </w14:solidFill>
          </w14:textFill>
        </w:rPr>
        <w:t>工程量清单。</w:t>
      </w:r>
      <w:r>
        <w:rPr>
          <w:rFonts w:hint="eastAsia" w:ascii="宋体" w:hAnsi="宋体" w:eastAsia="宋体" w:cs="宋体"/>
          <w:color w:val="000000" w:themeColor="text1"/>
          <w:sz w:val="22"/>
          <w:szCs w:val="22"/>
          <w:highlight w:val="none"/>
          <w:u w:val="single"/>
          <w14:textFill>
            <w14:solidFill>
              <w14:schemeClr w14:val="tx1"/>
            </w14:solidFill>
          </w14:textFill>
        </w:rPr>
        <w:t>发包人保留对上述工程规模进行适当调整的权利。</w:t>
      </w:r>
    </w:p>
    <w:p w14:paraId="1F3CC699">
      <w:pPr>
        <w:pageBreakBefore w:val="0"/>
        <w:widowControl w:val="0"/>
        <w:kinsoku/>
        <w:wordWrap/>
        <w:overflowPunct/>
        <w:topLinePunct w:val="0"/>
        <w:bidi w:val="0"/>
        <w:snapToGrid/>
        <w:spacing w:line="400" w:lineRule="exact"/>
        <w:ind w:firstLine="442" w:firstLineChars="200"/>
        <w:textAlignment w:val="auto"/>
        <w:rPr>
          <w:rFonts w:hint="eastAsia" w:ascii="宋体" w:hAnsi="宋体" w:eastAsia="宋体" w:cs="宋体"/>
          <w:b/>
          <w:color w:val="000000" w:themeColor="text1"/>
          <w:sz w:val="22"/>
          <w:szCs w:val="22"/>
          <w:highlight w:val="none"/>
          <w14:textFill>
            <w14:solidFill>
              <w14:schemeClr w14:val="tx1"/>
            </w14:solidFill>
          </w14:textFill>
        </w:rPr>
      </w:pPr>
      <w:bookmarkStart w:id="11" w:name="_Toc351203482"/>
      <w:r>
        <w:rPr>
          <w:rFonts w:hint="eastAsia" w:ascii="宋体" w:hAnsi="宋体" w:eastAsia="宋体" w:cs="宋体"/>
          <w:b/>
          <w:color w:val="000000" w:themeColor="text1"/>
          <w:sz w:val="22"/>
          <w:szCs w:val="22"/>
          <w:highlight w:val="none"/>
          <w14:textFill>
            <w14:solidFill>
              <w14:schemeClr w14:val="tx1"/>
            </w14:solidFill>
          </w14:textFill>
        </w:rPr>
        <w:t>二、合同工期</w:t>
      </w:r>
      <w:bookmarkEnd w:id="11"/>
    </w:p>
    <w:p w14:paraId="798B6B84">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计划开工日期：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0D2F73EF">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计划竣工日期：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767BE321">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工期总日历天数：</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50</w:t>
      </w:r>
      <w:r>
        <w:rPr>
          <w:rFonts w:hint="eastAsia" w:ascii="宋体" w:hAnsi="宋体" w:eastAsia="宋体" w:cs="宋体"/>
          <w:color w:val="000000" w:themeColor="text1"/>
          <w:sz w:val="22"/>
          <w:szCs w:val="22"/>
          <w:highlight w:val="none"/>
          <w:u w:val="none"/>
          <w:lang w:val="en-US" w:eastAsia="zh-CN"/>
          <w14:textFill>
            <w14:solidFill>
              <w14:schemeClr w14:val="tx1"/>
            </w14:solidFill>
          </w14:textFill>
        </w:rPr>
        <w:t>日历</w:t>
      </w:r>
      <w:r>
        <w:rPr>
          <w:rFonts w:hint="eastAsia" w:ascii="宋体" w:hAnsi="宋体" w:eastAsia="宋体" w:cs="宋体"/>
          <w:color w:val="000000" w:themeColor="text1"/>
          <w:sz w:val="22"/>
          <w:szCs w:val="22"/>
          <w:highlight w:val="none"/>
          <w14:textFill>
            <w14:solidFill>
              <w14:schemeClr w14:val="tx1"/>
            </w14:solidFill>
          </w14:textFill>
        </w:rPr>
        <w:t>天，从签订合同之日起开始计算期限。</w:t>
      </w:r>
    </w:p>
    <w:p w14:paraId="0AEAB9E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2" w:name="_Toc351203483"/>
      <w:r>
        <w:rPr>
          <w:rFonts w:hint="eastAsia" w:ascii="宋体" w:hAnsi="宋体" w:eastAsia="宋体" w:cs="宋体"/>
          <w:b w:val="0"/>
          <w:color w:val="000000" w:themeColor="text1"/>
          <w:sz w:val="22"/>
          <w:szCs w:val="22"/>
          <w:highlight w:val="none"/>
          <w14:textFill>
            <w14:solidFill>
              <w14:schemeClr w14:val="tx1"/>
            </w14:solidFill>
          </w14:textFill>
        </w:rPr>
        <w:t>三、质量标准</w:t>
      </w:r>
      <w:bookmarkEnd w:id="12"/>
    </w:p>
    <w:p w14:paraId="3CF491A7">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工程质量符合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合格</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标准。</w:t>
      </w:r>
    </w:p>
    <w:p w14:paraId="11BA6E4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3" w:name="_Toc351203484"/>
      <w:r>
        <w:rPr>
          <w:rFonts w:hint="eastAsia" w:ascii="宋体" w:hAnsi="宋体" w:eastAsia="宋体" w:cs="宋体"/>
          <w:b w:val="0"/>
          <w:color w:val="000000" w:themeColor="text1"/>
          <w:sz w:val="22"/>
          <w:szCs w:val="22"/>
          <w:highlight w:val="none"/>
          <w14:textFill>
            <w14:solidFill>
              <w14:schemeClr w14:val="tx1"/>
            </w14:solidFill>
          </w14:textFill>
        </w:rPr>
        <w:t>四、签约合同价与合同价格形式</w:t>
      </w:r>
      <w:bookmarkEnd w:id="13"/>
      <w:r>
        <w:rPr>
          <w:rFonts w:hint="eastAsia" w:ascii="宋体" w:hAnsi="宋体" w:eastAsia="宋体" w:cs="宋体"/>
          <w:b w:val="0"/>
          <w:color w:val="000000" w:themeColor="text1"/>
          <w:sz w:val="22"/>
          <w:szCs w:val="22"/>
          <w:highlight w:val="none"/>
          <w14:textFill>
            <w14:solidFill>
              <w14:schemeClr w14:val="tx1"/>
            </w14:solidFill>
          </w14:textFill>
        </w:rPr>
        <w:tab/>
      </w:r>
    </w:p>
    <w:p w14:paraId="3AAE7F8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1.签约合同价为：</w:t>
      </w:r>
    </w:p>
    <w:p w14:paraId="0510A0C6">
      <w:pPr>
        <w:pageBreakBefore w:val="0"/>
        <w:widowControl w:val="0"/>
        <w:kinsoku/>
        <w:wordWrap/>
        <w:overflowPunct/>
        <w:topLinePunct w:val="0"/>
        <w:bidi w:val="0"/>
        <w:snapToGrid/>
        <w:spacing w:line="400" w:lineRule="exact"/>
        <w:ind w:firstLine="550" w:firstLineChars="2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人民币（大写）(¥元)；</w:t>
      </w:r>
    </w:p>
    <w:p w14:paraId="7516CB0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其中：</w:t>
      </w:r>
    </w:p>
    <w:p w14:paraId="33C326B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（1）安全文明施工费：</w:t>
      </w:r>
    </w:p>
    <w:p w14:paraId="35529787">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DCA96F9">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（2）材料和工程设备暂估价金额：</w:t>
      </w:r>
    </w:p>
    <w:p w14:paraId="44A29898">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41326C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（3）专业工程暂估价金额：</w:t>
      </w:r>
    </w:p>
    <w:p w14:paraId="460BE11F">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33C5DFA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（4）暂列金额：</w:t>
      </w:r>
    </w:p>
    <w:p w14:paraId="5A01691C">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1FCB8EE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2.合同价格形式：</w:t>
      </w:r>
      <w:r>
        <w:rPr>
          <w:rFonts w:hint="eastAsia" w:ascii="宋体" w:hAnsi="宋体" w:eastAsia="宋体" w:cs="宋体"/>
          <w:color w:val="000000" w:themeColor="text1"/>
          <w:sz w:val="22"/>
          <w:szCs w:val="22"/>
          <w:highlight w:val="none"/>
          <w:u w:val="single"/>
          <w14:textFill>
            <w14:solidFill>
              <w14:schemeClr w14:val="tx1"/>
            </w14:solidFill>
          </w14:textFill>
        </w:rPr>
        <w:t>固定单价合同     </w:t>
      </w:r>
      <w:r>
        <w:rPr>
          <w:rFonts w:hint="eastAsia" w:ascii="宋体" w:hAnsi="宋体" w:eastAsia="宋体" w:cs="宋体"/>
          <w:color w:val="000000" w:themeColor="text1"/>
          <w:sz w:val="22"/>
          <w:szCs w:val="22"/>
          <w:highlight w:val="none"/>
          <w14:textFill>
            <w14:solidFill>
              <w14:schemeClr w14:val="tx1"/>
            </w14:solidFill>
          </w14:textFill>
        </w:rPr>
        <w:t>。</w:t>
      </w:r>
    </w:p>
    <w:p w14:paraId="592CD24C">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color w:val="000000" w:themeColor="text1"/>
          <w:sz w:val="22"/>
          <w:szCs w:val="22"/>
          <w:highlight w:val="none"/>
          <w14:textFill>
            <w14:solidFill>
              <w14:schemeClr w14:val="tx1"/>
            </w14:solidFill>
          </w14:textFill>
        </w:rPr>
      </w:pPr>
      <w:bookmarkStart w:id="14" w:name="_Toc351203485"/>
      <w:r>
        <w:rPr>
          <w:rFonts w:hint="eastAsia" w:ascii="宋体" w:hAnsi="宋体" w:eastAsia="宋体" w:cs="宋体"/>
          <w:b w:val="0"/>
          <w:color w:val="000000" w:themeColor="text1"/>
          <w:sz w:val="22"/>
          <w:szCs w:val="22"/>
          <w:highlight w:val="none"/>
          <w14:textFill>
            <w14:solidFill>
              <w14:schemeClr w14:val="tx1"/>
            </w14:solidFill>
          </w14:textFill>
        </w:rPr>
        <w:t>五、</w:t>
      </w:r>
      <w:bookmarkEnd w:id="14"/>
      <w:r>
        <w:rPr>
          <w:rFonts w:hint="eastAsia" w:ascii="宋体" w:hAnsi="宋体" w:eastAsia="宋体" w:cs="宋体"/>
          <w:b w:val="0"/>
          <w:color w:val="000000" w:themeColor="text1"/>
          <w:sz w:val="22"/>
          <w:szCs w:val="22"/>
          <w:highlight w:val="none"/>
          <w14:textFill>
            <w14:solidFill>
              <w14:schemeClr w14:val="tx1"/>
            </w14:solidFill>
          </w14:textFill>
        </w:rPr>
        <w:t>项目经理</w:t>
      </w:r>
    </w:p>
    <w:p w14:paraId="1A68AF6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承包人项目经理：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FA9CFE5">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5" w:name="_Toc351203486"/>
      <w:r>
        <w:rPr>
          <w:rFonts w:hint="eastAsia" w:ascii="宋体" w:hAnsi="宋体" w:eastAsia="宋体" w:cs="宋体"/>
          <w:b w:val="0"/>
          <w:color w:val="000000" w:themeColor="text1"/>
          <w:sz w:val="22"/>
          <w:szCs w:val="22"/>
          <w:highlight w:val="none"/>
          <w14:textFill>
            <w14:solidFill>
              <w14:schemeClr w14:val="tx1"/>
            </w14:solidFill>
          </w14:textFill>
        </w:rPr>
        <w:t>六、合同文件构成</w:t>
      </w:r>
      <w:bookmarkEnd w:id="15"/>
    </w:p>
    <w:p w14:paraId="115865EB">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本协议书与下列文件一起构成合同文件：</w:t>
      </w:r>
    </w:p>
    <w:p w14:paraId="3B1BA54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（1）中标通知书（如果有）；</w:t>
      </w:r>
    </w:p>
    <w:p w14:paraId="603FB92E">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（2）投标函及其附录（如果有）； </w:t>
      </w:r>
    </w:p>
    <w:p w14:paraId="26FE258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（3）专用合同条款及其附件；</w:t>
      </w:r>
    </w:p>
    <w:p w14:paraId="7F2C05E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（4）通用合同条款；</w:t>
      </w:r>
    </w:p>
    <w:p w14:paraId="5BD81CB5">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（5）技术标准和要求；</w:t>
      </w:r>
    </w:p>
    <w:p w14:paraId="279184B3">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（6）图纸；</w:t>
      </w:r>
    </w:p>
    <w:p w14:paraId="3B168EC7">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（7）已标价工程量清单或预算书；</w:t>
      </w:r>
    </w:p>
    <w:p w14:paraId="369F5F1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（8）其他合同文件。</w:t>
      </w:r>
    </w:p>
    <w:p w14:paraId="71E40F1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在合同订立及履行过程中形成的与合同有关的文件均构成合同文件组成部分。</w:t>
      </w:r>
    </w:p>
    <w:p w14:paraId="48A3770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74C01F04">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bCs w:val="0"/>
          <w:color w:val="000000" w:themeColor="text1"/>
          <w:sz w:val="22"/>
          <w:szCs w:val="22"/>
          <w:highlight w:val="none"/>
          <w14:textFill>
            <w14:solidFill>
              <w14:schemeClr w14:val="tx1"/>
            </w14:solidFill>
          </w14:textFill>
        </w:rPr>
      </w:pPr>
      <w:bookmarkStart w:id="16" w:name="_Toc351203487"/>
      <w:r>
        <w:rPr>
          <w:rFonts w:hint="eastAsia" w:ascii="宋体" w:hAnsi="宋体" w:eastAsia="宋体" w:cs="宋体"/>
          <w:b w:val="0"/>
          <w:color w:val="000000" w:themeColor="text1"/>
          <w:sz w:val="22"/>
          <w:szCs w:val="22"/>
          <w:highlight w:val="none"/>
          <w14:textFill>
            <w14:solidFill>
              <w14:schemeClr w14:val="tx1"/>
            </w14:solidFill>
          </w14:textFill>
        </w:rPr>
        <w:t>七、承诺</w:t>
      </w:r>
      <w:bookmarkEnd w:id="16"/>
    </w:p>
    <w:p w14:paraId="11C3D986">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1.发包人承诺按照法律规定履行项目审批手续、筹集工程建设资金并按照合同约定的期限和方式支付合同价款。</w:t>
      </w:r>
    </w:p>
    <w:p w14:paraId="4CB2FCE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65A1BB8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3.发包人和承包人通过招投标形式签订合同的，双方理解并承诺不再就同一工程另行签订与合同实质性内容相背离的协议。</w:t>
      </w:r>
    </w:p>
    <w:p w14:paraId="5B88DFC8">
      <w:pPr>
        <w:pageBreakBefore w:val="0"/>
        <w:widowControl w:val="0"/>
        <w:kinsoku/>
        <w:wordWrap/>
        <w:overflowPunct/>
        <w:topLinePunct w:val="0"/>
        <w:bidi w:val="0"/>
        <w:snapToGrid/>
        <w:spacing w:line="400" w:lineRule="exact"/>
        <w:textAlignment w:val="auto"/>
        <w:rPr>
          <w:rFonts w:hint="eastAsia" w:ascii="宋体" w:hAnsi="宋体" w:eastAsia="宋体" w:cs="宋体"/>
          <w:bCs/>
          <w:color w:val="000000" w:themeColor="text1"/>
          <w:sz w:val="22"/>
          <w:szCs w:val="22"/>
          <w:highlight w:val="none"/>
          <w14:textFill>
            <w14:solidFill>
              <w14:schemeClr w14:val="tx1"/>
            </w14:solidFill>
          </w14:textFill>
        </w:rPr>
      </w:pPr>
      <w:bookmarkStart w:id="17" w:name="_Toc351203488"/>
      <w:r>
        <w:rPr>
          <w:rFonts w:hint="eastAsia" w:ascii="宋体" w:hAnsi="宋体" w:eastAsia="宋体" w:cs="宋体"/>
          <w:b/>
          <w:color w:val="000000" w:themeColor="text1"/>
          <w:sz w:val="22"/>
          <w:szCs w:val="22"/>
          <w:highlight w:val="none"/>
          <w14:textFill>
            <w14:solidFill>
              <w14:schemeClr w14:val="tx1"/>
            </w14:solidFill>
          </w14:textFill>
        </w:rPr>
        <w:t xml:space="preserve">    八、词语含义</w:t>
      </w:r>
      <w:bookmarkEnd w:id="17"/>
    </w:p>
    <w:p w14:paraId="4C830A4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本协议书中词语含义与第二部分通用合同条款中赋予的含义相同。</w:t>
      </w:r>
    </w:p>
    <w:p w14:paraId="3BE340CA">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8" w:name="_Toc351203489"/>
      <w:r>
        <w:rPr>
          <w:rFonts w:hint="eastAsia" w:ascii="宋体" w:hAnsi="宋体" w:eastAsia="宋体" w:cs="宋体"/>
          <w:b w:val="0"/>
          <w:color w:val="000000" w:themeColor="text1"/>
          <w:sz w:val="22"/>
          <w:szCs w:val="22"/>
          <w:highlight w:val="none"/>
          <w14:textFill>
            <w14:solidFill>
              <w14:schemeClr w14:val="tx1"/>
            </w14:solidFill>
          </w14:textFill>
        </w:rPr>
        <w:t>九、签订时间</w:t>
      </w:r>
      <w:bookmarkEnd w:id="18"/>
    </w:p>
    <w:p w14:paraId="0BE52F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本合同于</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年</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月</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日签订。</w:t>
      </w:r>
    </w:p>
    <w:p w14:paraId="266E9F9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9" w:name="_Toc351203490"/>
      <w:r>
        <w:rPr>
          <w:rFonts w:hint="eastAsia" w:ascii="宋体" w:hAnsi="宋体" w:eastAsia="宋体" w:cs="宋体"/>
          <w:b w:val="0"/>
          <w:color w:val="000000" w:themeColor="text1"/>
          <w:sz w:val="22"/>
          <w:szCs w:val="22"/>
          <w:highlight w:val="none"/>
          <w14:textFill>
            <w14:solidFill>
              <w14:schemeClr w14:val="tx1"/>
            </w14:solidFill>
          </w14:textFill>
        </w:rPr>
        <w:t>十、签订地点</w:t>
      </w:r>
      <w:bookmarkEnd w:id="19"/>
    </w:p>
    <w:p w14:paraId="768928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本合同在</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江苏省盐城市响水县大有镇淮河村村民委员会</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签订。</w:t>
      </w:r>
    </w:p>
    <w:p w14:paraId="5DCEE60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0" w:name="_Toc351203491"/>
      <w:r>
        <w:rPr>
          <w:rFonts w:hint="eastAsia" w:ascii="宋体" w:hAnsi="宋体" w:eastAsia="宋体" w:cs="宋体"/>
          <w:b w:val="0"/>
          <w:color w:val="000000" w:themeColor="text1"/>
          <w:sz w:val="22"/>
          <w:szCs w:val="22"/>
          <w:highlight w:val="none"/>
          <w14:textFill>
            <w14:solidFill>
              <w14:schemeClr w14:val="tx1"/>
            </w14:solidFill>
          </w14:textFill>
        </w:rPr>
        <w:t>十一、补充协议</w:t>
      </w:r>
      <w:bookmarkEnd w:id="20"/>
    </w:p>
    <w:p w14:paraId="484D3AD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合同未尽事宜，合同当事人另行签订补充协议，补充协议是合同的组成部分。</w:t>
      </w:r>
    </w:p>
    <w:p w14:paraId="6C7419A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1" w:name="_Toc351203492"/>
      <w:r>
        <w:rPr>
          <w:rFonts w:hint="eastAsia" w:ascii="宋体" w:hAnsi="宋体" w:eastAsia="宋体" w:cs="宋体"/>
          <w:b w:val="0"/>
          <w:color w:val="000000" w:themeColor="text1"/>
          <w:sz w:val="22"/>
          <w:szCs w:val="22"/>
          <w:highlight w:val="none"/>
          <w14:textFill>
            <w14:solidFill>
              <w14:schemeClr w14:val="tx1"/>
            </w14:solidFill>
          </w14:textFill>
        </w:rPr>
        <w:t>十二、合同生效</w:t>
      </w:r>
      <w:bookmarkEnd w:id="21"/>
    </w:p>
    <w:p w14:paraId="4BC02498">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本合同自</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双方签字盖章后  </w:t>
      </w:r>
      <w:r>
        <w:rPr>
          <w:rFonts w:hint="eastAsia" w:ascii="宋体" w:hAnsi="宋体" w:eastAsia="宋体" w:cs="宋体"/>
          <w:bCs/>
          <w:color w:val="000000" w:themeColor="text1"/>
          <w:sz w:val="22"/>
          <w:szCs w:val="22"/>
          <w:highlight w:val="none"/>
          <w14:textFill>
            <w14:solidFill>
              <w14:schemeClr w14:val="tx1"/>
            </w14:solidFill>
          </w14:textFill>
        </w:rPr>
        <w:t>生效。</w:t>
      </w:r>
    </w:p>
    <w:p w14:paraId="7CA3A18E">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2" w:name="_Toc351203493"/>
      <w:r>
        <w:rPr>
          <w:rFonts w:hint="eastAsia" w:ascii="宋体" w:hAnsi="宋体" w:eastAsia="宋体" w:cs="宋体"/>
          <w:b w:val="0"/>
          <w:color w:val="000000" w:themeColor="text1"/>
          <w:sz w:val="22"/>
          <w:szCs w:val="22"/>
          <w:highlight w:val="none"/>
          <w14:textFill>
            <w14:solidFill>
              <w14:schemeClr w14:val="tx1"/>
            </w14:solidFill>
          </w14:textFill>
        </w:rPr>
        <w:t>十三、合同份数</w:t>
      </w:r>
      <w:bookmarkEnd w:id="22"/>
    </w:p>
    <w:p w14:paraId="787ECFB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本合同一式</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拾 </w:t>
      </w:r>
      <w:r>
        <w:rPr>
          <w:rFonts w:hint="eastAsia" w:ascii="宋体" w:hAnsi="宋体" w:eastAsia="宋体" w:cs="宋体"/>
          <w:bCs/>
          <w:color w:val="000000" w:themeColor="text1"/>
          <w:sz w:val="22"/>
          <w:szCs w:val="22"/>
          <w:highlight w:val="none"/>
          <w14:textFill>
            <w14:solidFill>
              <w14:schemeClr w14:val="tx1"/>
            </w14:solidFill>
          </w14:textFill>
        </w:rPr>
        <w:t>份，均具有同等法律效力，发包人执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份，承包人执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w:t>
      </w:r>
    </w:p>
    <w:p w14:paraId="630B4B5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发包人：  (公章)             承包人：  (公章)                               </w:t>
      </w:r>
    </w:p>
    <w:p w14:paraId="39DC5EDE">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法定代表人或其委托代理人：  法定代表人或其委托代理人：</w:t>
      </w:r>
    </w:p>
    <w:p w14:paraId="5E5F5381">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（签字）                    （签字）</w:t>
      </w:r>
    </w:p>
    <w:p w14:paraId="7B83C6D8">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p>
    <w:p w14:paraId="549D06FC">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41A20A5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9F2CF74">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8B0E39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w:t>
      </w:r>
      <w:r>
        <w:rPr>
          <w:rFonts w:hint="eastAsia" w:ascii="宋体" w:hAnsi="宋体" w:eastAsia="宋体" w:cs="宋体"/>
          <w:color w:val="000000" w:themeColor="text1"/>
          <w:sz w:val="22"/>
          <w:szCs w:val="22"/>
          <w:highlight w:val="none"/>
          <w:u w:val="single"/>
          <w14:textFill>
            <w14:solidFill>
              <w14:schemeClr w14:val="tx1"/>
            </w14:solidFill>
          </w14:textFill>
        </w:rPr>
        <w:t>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76FC13F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44A4BB8">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04085BD2">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B63453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682B0D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0D85AE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37C5D93A">
      <w:pPr>
        <w:pStyle w:val="4"/>
        <w:spacing w:before="0" w:after="0" w:line="480" w:lineRule="exact"/>
        <w:ind w:firstLine="118"/>
        <w:jc w:val="center"/>
        <w:rPr>
          <w:rFonts w:hint="eastAsia" w:ascii="宋体" w:hAnsi="宋体" w:eastAsia="宋体" w:cs="宋体"/>
          <w:b w:val="0"/>
          <w:color w:val="000000" w:themeColor="text1"/>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br w:type="page"/>
      </w:r>
      <w:r>
        <w:rPr>
          <w:rFonts w:hint="eastAsia" w:ascii="宋体" w:hAnsi="宋体" w:eastAsia="宋体" w:cs="宋体"/>
          <w:color w:val="000000" w:themeColor="text1"/>
          <w:highlight w:val="none"/>
          <w:lang w:val="zh-CN"/>
          <w14:textFill>
            <w14:solidFill>
              <w14:schemeClr w14:val="tx1"/>
            </w14:solidFill>
          </w14:textFill>
        </w:rPr>
        <w:t>第二部分 通用合同条款</w:t>
      </w:r>
    </w:p>
    <w:p w14:paraId="027BC990">
      <w:pPr>
        <w:spacing w:line="480" w:lineRule="exact"/>
        <w:rPr>
          <w:rFonts w:hint="eastAsia" w:ascii="宋体" w:hAnsi="宋体" w:eastAsia="宋体" w:cs="宋体"/>
          <w:b/>
          <w:color w:val="000000" w:themeColor="text1"/>
          <w:sz w:val="24"/>
          <w:highlight w:val="none"/>
          <w14:textFill>
            <w14:solidFill>
              <w14:schemeClr w14:val="tx1"/>
            </w14:solidFill>
          </w14:textFill>
        </w:rPr>
      </w:pPr>
    </w:p>
    <w:p w14:paraId="1FAF807C">
      <w:pPr>
        <w:spacing w:line="480" w:lineRule="exact"/>
        <w:ind w:firstLine="431" w:firstLineChars="196"/>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同建设工程施工合同（示范文本）（GF—2017—0201）内的通用合同条款</w:t>
      </w:r>
    </w:p>
    <w:p w14:paraId="13A71632">
      <w:pPr>
        <w:spacing w:line="480" w:lineRule="exact"/>
        <w:ind w:firstLine="216"/>
        <w:rPr>
          <w:rFonts w:hint="eastAsia" w:ascii="宋体" w:hAnsi="宋体" w:eastAsia="宋体" w:cs="宋体"/>
          <w:color w:val="000000" w:themeColor="text1"/>
          <w:sz w:val="24"/>
          <w:highlight w:val="none"/>
          <w:lang w:val="zh-CN"/>
          <w14:textFill>
            <w14:solidFill>
              <w14:schemeClr w14:val="tx1"/>
            </w14:solidFill>
          </w14:textFill>
        </w:rPr>
      </w:pPr>
    </w:p>
    <w:p w14:paraId="52616E78">
      <w:pPr>
        <w:pStyle w:val="4"/>
        <w:spacing w:before="0" w:after="0" w:line="480" w:lineRule="exact"/>
        <w:ind w:firstLine="118"/>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第三部分 专用合同条款</w:t>
      </w:r>
    </w:p>
    <w:p w14:paraId="7FF9EC3D">
      <w:pPr>
        <w:pStyle w:val="6"/>
        <w:pageBreakBefore w:val="0"/>
        <w:kinsoku/>
        <w:wordWrap/>
        <w:overflowPunct/>
        <w:topLinePunct w:val="0"/>
        <w:bidi w:val="0"/>
        <w:snapToGrid/>
        <w:spacing w:before="0" w:after="0" w:line="400" w:lineRule="exact"/>
        <w:rPr>
          <w:rFonts w:hint="eastAsia" w:ascii="宋体" w:hAnsi="宋体" w:eastAsia="宋体" w:cs="宋体"/>
          <w:b w:val="0"/>
          <w:color w:val="000000" w:themeColor="text1"/>
          <w:sz w:val="22"/>
          <w:szCs w:val="22"/>
          <w:highlight w:val="none"/>
          <w14:textFill>
            <w14:solidFill>
              <w14:schemeClr w14:val="tx1"/>
            </w14:solidFill>
          </w14:textFill>
        </w:rPr>
      </w:pPr>
      <w:bookmarkStart w:id="23" w:name="_Toc351203633"/>
      <w:r>
        <w:rPr>
          <w:rFonts w:hint="eastAsia" w:ascii="宋体" w:hAnsi="宋体" w:eastAsia="宋体" w:cs="宋体"/>
          <w:b w:val="0"/>
          <w:color w:val="000000" w:themeColor="text1"/>
          <w:sz w:val="22"/>
          <w:szCs w:val="22"/>
          <w:highlight w:val="none"/>
          <w14:textFill>
            <w14:solidFill>
              <w14:schemeClr w14:val="tx1"/>
            </w14:solidFill>
          </w14:textFill>
        </w:rPr>
        <w:t>1</w:t>
      </w:r>
      <w:bookmarkStart w:id="24" w:name="_Toc296503156"/>
      <w:bookmarkStart w:id="25" w:name="_Toc297048342"/>
      <w:bookmarkStart w:id="26" w:name="_Toc296890984"/>
      <w:bookmarkStart w:id="27" w:name="_Toc297120456"/>
      <w:bookmarkStart w:id="28" w:name="_Toc296347155"/>
      <w:bookmarkStart w:id="29" w:name="_Toc296944495"/>
      <w:bookmarkStart w:id="30" w:name="_Toc292559866"/>
      <w:bookmarkStart w:id="31" w:name="_Toc296346657"/>
      <w:bookmarkStart w:id="32" w:name="_Toc292559361"/>
      <w:bookmarkStart w:id="33" w:name="_Toc296891196"/>
      <w:r>
        <w:rPr>
          <w:rFonts w:hint="eastAsia" w:ascii="宋体" w:hAnsi="宋体" w:eastAsia="宋体" w:cs="宋体"/>
          <w:b w:val="0"/>
          <w:color w:val="000000" w:themeColor="text1"/>
          <w:sz w:val="22"/>
          <w:szCs w:val="22"/>
          <w:highlight w:val="none"/>
          <w14:textFill>
            <w14:solidFill>
              <w14:schemeClr w14:val="tx1"/>
            </w14:solidFill>
          </w14:textFill>
        </w:rPr>
        <w:t>. 一般约定</w:t>
      </w:r>
      <w:bookmarkEnd w:id="23"/>
    </w:p>
    <w:bookmarkEnd w:id="24"/>
    <w:bookmarkEnd w:id="25"/>
    <w:bookmarkEnd w:id="26"/>
    <w:bookmarkEnd w:id="27"/>
    <w:bookmarkEnd w:id="28"/>
    <w:bookmarkEnd w:id="29"/>
    <w:bookmarkEnd w:id="30"/>
    <w:bookmarkEnd w:id="31"/>
    <w:bookmarkEnd w:id="32"/>
    <w:bookmarkEnd w:id="33"/>
    <w:p w14:paraId="5A2156B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 词语定义</w:t>
      </w:r>
    </w:p>
    <w:p w14:paraId="4D85B3A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1.1.1合同</w:t>
      </w:r>
    </w:p>
    <w:p w14:paraId="020A7A8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1.1.1.10其他合同文件包括：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1）合同协议书；（2）中标通知书；（3）招标文件、投标文件（含已标价工程量清单）及其附件；（4）本合同专用条款；（5）通用合同条款；（6）标准、规范及有关技术文件；（7）图纸；（8）工程量清单；（9）发包人委托编制的预算书；（10）双方有关工程的洽商、变更等书面协议或文件等  </w:t>
      </w:r>
      <w:r>
        <w:rPr>
          <w:rFonts w:hint="eastAsia" w:ascii="宋体" w:hAnsi="宋体" w:eastAsia="宋体" w:cs="宋体"/>
          <w:color w:val="000000" w:themeColor="text1"/>
          <w:sz w:val="22"/>
          <w:szCs w:val="22"/>
          <w:highlight w:val="none"/>
          <w14:textFill>
            <w14:solidFill>
              <w14:schemeClr w14:val="tx1"/>
            </w14:solidFill>
          </w14:textFill>
        </w:rPr>
        <w:t>。</w:t>
      </w:r>
    </w:p>
    <w:p w14:paraId="68C7FA8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 合同当事人及其他相关方</w:t>
      </w:r>
    </w:p>
    <w:p w14:paraId="7A1809D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1.1.2.4监理人：</w:t>
      </w:r>
    </w:p>
    <w:p w14:paraId="100909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07E07E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4D3A1F2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73C25A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333155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7F34E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1.1.2.5 设计人：</w:t>
      </w:r>
    </w:p>
    <w:p w14:paraId="37E3B39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EDE85A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CDDC31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E62DA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2EA606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C8D2D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 工程和设备</w:t>
      </w:r>
    </w:p>
    <w:p w14:paraId="10B979F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1.1.3.7 作为施工现场组成部分的其他场所包括：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A31C13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1.1.3.9 永久占地包括：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8C6F1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1.1.3.10 临时占地包括：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如在规划红线外租用临时用地，费用由承包人承担</w:t>
      </w:r>
      <w:r>
        <w:rPr>
          <w:rFonts w:hint="eastAsia" w:ascii="宋体" w:hAnsi="宋体" w:eastAsia="宋体" w:cs="宋体"/>
          <w:color w:val="000000" w:themeColor="text1"/>
          <w:sz w:val="22"/>
          <w:szCs w:val="22"/>
          <w:highlight w:val="none"/>
          <w14:textFill>
            <w14:solidFill>
              <w14:schemeClr w14:val="tx1"/>
            </w14:solidFill>
          </w14:textFill>
        </w:rPr>
        <w:t>。</w:t>
      </w:r>
    </w:p>
    <w:p w14:paraId="14B1BE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1.3法律 </w:t>
      </w:r>
    </w:p>
    <w:p w14:paraId="2BCCE70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适用于合同的其他规范性文件：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①《中华人民共和国民法典》；②《中华人民共和国建筑法》；③《中华人民共和国招标投标法》；④《建筑工程质量管理条例》；⑤《中华人民共和国安全生产法》； ⑥国家关于建设工程款结算的有关规定；⑦盐城市相关的法规和政策文件等 。 </w:t>
      </w:r>
    </w:p>
    <w:p w14:paraId="7A2430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 标准和规范</w:t>
      </w:r>
    </w:p>
    <w:p w14:paraId="036549C2">
      <w:pPr>
        <w:pageBreakBefore w:val="0"/>
        <w:kinsoku/>
        <w:wordWrap/>
        <w:overflowPunct/>
        <w:topLinePunct w:val="0"/>
        <w:bidi w:val="0"/>
        <w:snapToGrid/>
        <w:spacing w:line="400" w:lineRule="exact"/>
        <w:ind w:firstLine="330" w:firstLineChars="1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1.4.1适用于工程的标准规范包括：</w:t>
      </w:r>
      <w:r>
        <w:rPr>
          <w:rFonts w:hint="eastAsia" w:ascii="宋体" w:hAnsi="宋体" w:eastAsia="宋体" w:cs="宋体"/>
          <w:color w:val="000000" w:themeColor="text1"/>
          <w:sz w:val="22"/>
          <w:szCs w:val="22"/>
          <w:highlight w:val="none"/>
          <w:u w:val="single"/>
          <w14:textFill>
            <w14:solidFill>
              <w14:schemeClr w14:val="tx1"/>
            </w14:solidFill>
          </w14:textFill>
        </w:rPr>
        <w:t>国家标准、行业标准、工程所在地的地方标准以及相应的规范、规程等</w:t>
      </w:r>
      <w:r>
        <w:rPr>
          <w:rFonts w:hint="eastAsia" w:ascii="宋体" w:hAnsi="宋体" w:eastAsia="宋体" w:cs="宋体"/>
          <w:color w:val="000000" w:themeColor="text1"/>
          <w:sz w:val="22"/>
          <w:szCs w:val="22"/>
          <w:highlight w:val="none"/>
          <w14:textFill>
            <w14:solidFill>
              <w14:schemeClr w14:val="tx1"/>
            </w14:solidFill>
          </w14:textFill>
        </w:rPr>
        <w:t>。</w:t>
      </w:r>
    </w:p>
    <w:p w14:paraId="17CC39A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E2439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95D70B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E0063F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1.4.3发包人对工程的技术标准和功能要求的特殊要求：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详见施工图纸  </w:t>
      </w:r>
      <w:r>
        <w:rPr>
          <w:rFonts w:hint="eastAsia" w:ascii="宋体" w:hAnsi="宋体" w:eastAsia="宋体" w:cs="宋体"/>
          <w:color w:val="000000" w:themeColor="text1"/>
          <w:sz w:val="22"/>
          <w:szCs w:val="22"/>
          <w:highlight w:val="none"/>
          <w14:textFill>
            <w14:solidFill>
              <w14:schemeClr w14:val="tx1"/>
            </w14:solidFill>
          </w14:textFill>
        </w:rPr>
        <w:t>。</w:t>
      </w:r>
    </w:p>
    <w:p w14:paraId="5A7D25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 合同文件的优先顺序</w:t>
      </w:r>
    </w:p>
    <w:p w14:paraId="2D42B8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合同文件组成及优先顺序为：</w:t>
      </w:r>
    </w:p>
    <w:p w14:paraId="310BD96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合同协议书；②中标通知书；③招标文件、投标文件（含已标价工程量清单）及其附件；④本合同专用条款；⑤本合同通用条款；⑥标准、规范及有关技术文件；⑦图纸；⑧工程量清单；⑨发包人委托编制的预算书；⑩双方有关工程的洽商、变更等书面协议或文件等。上述各项合同文件包括合同当事人就该项合同文件所作出的补充和修改，属于同一类内容的文件，应以最新签署的为准。</w:t>
      </w:r>
    </w:p>
    <w:p w14:paraId="23CF459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 图纸和承包人文件</w:t>
      </w:r>
      <w:r>
        <w:rPr>
          <w:rFonts w:hint="eastAsia" w:ascii="宋体" w:hAnsi="宋体" w:eastAsia="宋体" w:cs="宋体"/>
          <w:color w:val="000000" w:themeColor="text1"/>
          <w:sz w:val="22"/>
          <w:szCs w:val="22"/>
          <w:highlight w:val="none"/>
          <w14:textFill>
            <w14:solidFill>
              <w14:schemeClr w14:val="tx1"/>
            </w14:solidFill>
          </w14:textFill>
        </w:rPr>
        <w:tab/>
      </w:r>
    </w:p>
    <w:p w14:paraId="4DFD7FE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图纸的提供</w:t>
      </w:r>
    </w:p>
    <w:p w14:paraId="32E900C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发包人向承包人提供图纸的期限：</w:t>
      </w:r>
      <w:r>
        <w:rPr>
          <w:rFonts w:hint="eastAsia" w:ascii="宋体" w:hAnsi="宋体" w:eastAsia="宋体" w:cs="宋体"/>
          <w:color w:val="000000" w:themeColor="text1"/>
          <w:sz w:val="22"/>
          <w:szCs w:val="22"/>
          <w:highlight w:val="none"/>
          <w:u w:val="single"/>
          <w14:textFill>
            <w14:solidFill>
              <w14:schemeClr w14:val="tx1"/>
            </w14:solidFill>
          </w14:textFill>
        </w:rPr>
        <w:t>签订施工合同后 3 天内</w:t>
      </w:r>
      <w:r>
        <w:rPr>
          <w:rFonts w:hint="eastAsia" w:ascii="宋体" w:hAnsi="宋体" w:eastAsia="宋体" w:cs="宋体"/>
          <w:color w:val="000000" w:themeColor="text1"/>
          <w:sz w:val="22"/>
          <w:szCs w:val="22"/>
          <w:highlight w:val="none"/>
          <w14:textFill>
            <w14:solidFill>
              <w14:schemeClr w14:val="tx1"/>
            </w14:solidFill>
          </w14:textFill>
        </w:rPr>
        <w:t>；</w:t>
      </w:r>
    </w:p>
    <w:p w14:paraId="0327B26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发包人向承包人提供图纸的数量：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发包人向承包人提供 3 套完整的施工图纸，未经发包人同意不得复制。不得向承包人以外的人员泄露图纸的有关内容 </w:t>
      </w:r>
      <w:r>
        <w:rPr>
          <w:rFonts w:hint="eastAsia" w:ascii="宋体" w:hAnsi="宋体" w:eastAsia="宋体" w:cs="宋体"/>
          <w:color w:val="000000" w:themeColor="text1"/>
          <w:sz w:val="22"/>
          <w:szCs w:val="22"/>
          <w:highlight w:val="none"/>
          <w14:textFill>
            <w14:solidFill>
              <w14:schemeClr w14:val="tx1"/>
            </w14:solidFill>
          </w14:textFill>
        </w:rPr>
        <w:t>；</w:t>
      </w:r>
    </w:p>
    <w:p w14:paraId="4673DC7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发包人向承包人提供图纸的内容：</w:t>
      </w:r>
      <w:r>
        <w:rPr>
          <w:rFonts w:hint="eastAsia" w:ascii="宋体" w:hAnsi="宋体" w:eastAsia="宋体" w:cs="宋体"/>
          <w:color w:val="000000" w:themeColor="text1"/>
          <w:sz w:val="22"/>
          <w:szCs w:val="22"/>
          <w:highlight w:val="none"/>
          <w:u w:val="single"/>
          <w14:textFill>
            <w14:solidFill>
              <w14:schemeClr w14:val="tx1"/>
            </w14:solidFill>
          </w14:textFill>
        </w:rPr>
        <w:t>全套经审查的施工图</w:t>
      </w:r>
      <w:r>
        <w:rPr>
          <w:rFonts w:hint="eastAsia" w:ascii="宋体" w:hAnsi="宋体" w:eastAsia="宋体" w:cs="宋体"/>
          <w:color w:val="000000" w:themeColor="text1"/>
          <w:sz w:val="22"/>
          <w:szCs w:val="22"/>
          <w:highlight w:val="none"/>
          <w14:textFill>
            <w14:solidFill>
              <w14:schemeClr w14:val="tx1"/>
            </w14:solidFill>
          </w14:textFill>
        </w:rPr>
        <w:t>。</w:t>
      </w:r>
    </w:p>
    <w:p w14:paraId="6758BEF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1.6.4 承包人文件</w:t>
      </w:r>
    </w:p>
    <w:p w14:paraId="663AC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需要由承包人提供的文件，包括：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施工组织设计等，以及发包人、监理要求提供的其他资料 </w:t>
      </w:r>
      <w:r>
        <w:rPr>
          <w:rFonts w:hint="eastAsia" w:ascii="宋体" w:hAnsi="宋体" w:eastAsia="宋体" w:cs="宋体"/>
          <w:color w:val="000000" w:themeColor="text1"/>
          <w:sz w:val="22"/>
          <w:szCs w:val="22"/>
          <w:highlight w:val="none"/>
          <w14:textFill>
            <w14:solidFill>
              <w14:schemeClr w14:val="tx1"/>
            </w14:solidFill>
          </w14:textFill>
        </w:rPr>
        <w:t>；</w:t>
      </w:r>
    </w:p>
    <w:p w14:paraId="568F7D4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承包人提供的文件的期限为：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4F2839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承包人提供的文件的数量为：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79E4DE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承包人提供的文件的形式为：</w:t>
      </w:r>
      <w:r>
        <w:rPr>
          <w:rFonts w:hint="eastAsia" w:ascii="宋体" w:hAnsi="宋体" w:eastAsia="宋体" w:cs="宋体"/>
          <w:color w:val="000000" w:themeColor="text1"/>
          <w:sz w:val="22"/>
          <w:szCs w:val="22"/>
          <w:highlight w:val="none"/>
          <w:u w:val="single"/>
          <w14:textFill>
            <w14:solidFill>
              <w14:schemeClr w14:val="tx1"/>
            </w14:solidFill>
          </w14:textFill>
        </w:rPr>
        <w:t>书面及电子版</w:t>
      </w:r>
      <w:r>
        <w:rPr>
          <w:rFonts w:hint="eastAsia" w:ascii="宋体" w:hAnsi="宋体" w:eastAsia="宋体" w:cs="宋体"/>
          <w:color w:val="000000" w:themeColor="text1"/>
          <w:sz w:val="22"/>
          <w:szCs w:val="22"/>
          <w:highlight w:val="none"/>
          <w14:textFill>
            <w14:solidFill>
              <w14:schemeClr w14:val="tx1"/>
            </w14:solidFill>
          </w14:textFill>
        </w:rPr>
        <w:t>；</w:t>
      </w:r>
    </w:p>
    <w:p w14:paraId="600BCFF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发包人审批承包人文件的期限：</w:t>
      </w:r>
      <w:r>
        <w:rPr>
          <w:rFonts w:hint="eastAsia" w:ascii="宋体" w:hAnsi="宋体" w:eastAsia="宋体" w:cs="宋体"/>
          <w:color w:val="000000" w:themeColor="text1"/>
          <w:sz w:val="22"/>
          <w:szCs w:val="22"/>
          <w:highlight w:val="none"/>
          <w:u w:val="single"/>
          <w14:textFill>
            <w14:solidFill>
              <w14:schemeClr w14:val="tx1"/>
            </w14:solidFill>
          </w14:textFill>
        </w:rPr>
        <w:t>3天</w:t>
      </w:r>
      <w:r>
        <w:rPr>
          <w:rFonts w:hint="eastAsia" w:ascii="宋体" w:hAnsi="宋体" w:eastAsia="宋体" w:cs="宋体"/>
          <w:color w:val="000000" w:themeColor="text1"/>
          <w:sz w:val="22"/>
          <w:szCs w:val="22"/>
          <w:highlight w:val="none"/>
          <w14:textFill>
            <w14:solidFill>
              <w14:schemeClr w14:val="tx1"/>
            </w14:solidFill>
          </w14:textFill>
        </w:rPr>
        <w:t>。</w:t>
      </w:r>
    </w:p>
    <w:p w14:paraId="1378FE0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1.6.5 现场图纸准备</w:t>
      </w:r>
    </w:p>
    <w:p w14:paraId="000F55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关于现场图纸准备的约定：</w:t>
      </w:r>
      <w:r>
        <w:rPr>
          <w:rFonts w:hint="eastAsia" w:ascii="宋体" w:hAnsi="宋体" w:eastAsia="宋体" w:cs="宋体"/>
          <w:color w:val="000000" w:themeColor="text1"/>
          <w:sz w:val="22"/>
          <w:szCs w:val="22"/>
          <w:highlight w:val="none"/>
          <w:u w:val="single"/>
          <w14:textFill>
            <w14:solidFill>
              <w14:schemeClr w14:val="tx1"/>
            </w14:solidFill>
          </w14:textFill>
        </w:rPr>
        <w:t>所有施工必须以发包人提供的图纸为准，发包人须向承包人提供经审查的有效图纸</w:t>
      </w:r>
      <w:r>
        <w:rPr>
          <w:rFonts w:hint="eastAsia" w:ascii="宋体" w:hAnsi="宋体" w:eastAsia="宋体" w:cs="宋体"/>
          <w:color w:val="000000" w:themeColor="text1"/>
          <w:sz w:val="22"/>
          <w:szCs w:val="22"/>
          <w:highlight w:val="none"/>
          <w14:textFill>
            <w14:solidFill>
              <w14:schemeClr w14:val="tx1"/>
            </w14:solidFill>
          </w14:textFill>
        </w:rPr>
        <w:t>。</w:t>
      </w:r>
    </w:p>
    <w:p w14:paraId="7A9BB9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 联络</w:t>
      </w:r>
    </w:p>
    <w:p w14:paraId="73C9741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1.7.1发包人和承包人应当在</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 </w:t>
      </w:r>
      <w:r>
        <w:rPr>
          <w:rFonts w:hint="eastAsia" w:ascii="宋体" w:hAnsi="宋体" w:eastAsia="宋体" w:cs="宋体"/>
          <w:color w:val="000000" w:themeColor="text1"/>
          <w:sz w:val="22"/>
          <w:szCs w:val="22"/>
          <w:highlight w:val="none"/>
          <w14:textFill>
            <w14:solidFill>
              <w14:schemeClr w14:val="tx1"/>
            </w14:solidFill>
          </w14:textFill>
        </w:rPr>
        <w:t>天内将与合同有关的通知、批准、证明、证书、指示、指令、要求、请求、同意、意见、确定和决定等书面函件送达对方当事人。</w:t>
      </w:r>
    </w:p>
    <w:p w14:paraId="698B9CD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1.7.2 发包人接收文件的地点：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261CC9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现场代表 </w:t>
      </w:r>
      <w:r>
        <w:rPr>
          <w:rFonts w:hint="eastAsia" w:ascii="宋体" w:hAnsi="宋体" w:eastAsia="宋体" w:cs="宋体"/>
          <w:color w:val="000000" w:themeColor="text1"/>
          <w:sz w:val="22"/>
          <w:szCs w:val="22"/>
          <w:highlight w:val="none"/>
          <w14:textFill>
            <w14:solidFill>
              <w14:schemeClr w14:val="tx1"/>
            </w14:solidFill>
          </w14:textFill>
        </w:rPr>
        <w:t>。</w:t>
      </w:r>
    </w:p>
    <w:p w14:paraId="0FBD4E7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55F0D8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项目负责人    </w:t>
      </w:r>
      <w:r>
        <w:rPr>
          <w:rFonts w:hint="eastAsia" w:ascii="宋体" w:hAnsi="宋体" w:eastAsia="宋体" w:cs="宋体"/>
          <w:color w:val="000000" w:themeColor="text1"/>
          <w:sz w:val="22"/>
          <w:szCs w:val="22"/>
          <w:highlight w:val="none"/>
          <w14:textFill>
            <w14:solidFill>
              <w14:schemeClr w14:val="tx1"/>
            </w14:solidFill>
          </w14:textFill>
        </w:rPr>
        <w:t>。</w:t>
      </w:r>
    </w:p>
    <w:p w14:paraId="7782618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施工现场    </w:t>
      </w:r>
      <w:r>
        <w:rPr>
          <w:rFonts w:hint="eastAsia" w:ascii="宋体" w:hAnsi="宋体" w:eastAsia="宋体" w:cs="宋体"/>
          <w:color w:val="000000" w:themeColor="text1"/>
          <w:sz w:val="22"/>
          <w:szCs w:val="22"/>
          <w:highlight w:val="none"/>
          <w14:textFill>
            <w14:solidFill>
              <w14:schemeClr w14:val="tx1"/>
            </w14:solidFill>
          </w14:textFill>
        </w:rPr>
        <w:t>；</w:t>
      </w:r>
    </w:p>
    <w:p w14:paraId="4FD2F6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总监理工程师</w:t>
      </w:r>
      <w:r>
        <w:rPr>
          <w:rFonts w:hint="eastAsia" w:ascii="宋体" w:hAnsi="宋体" w:eastAsia="宋体" w:cs="宋体"/>
          <w:color w:val="000000" w:themeColor="text1"/>
          <w:sz w:val="22"/>
          <w:szCs w:val="22"/>
          <w:highlight w:val="none"/>
          <w14:textFill>
            <w14:solidFill>
              <w14:schemeClr w14:val="tx1"/>
            </w14:solidFill>
          </w14:textFill>
        </w:rPr>
        <w:t>。</w:t>
      </w:r>
    </w:p>
    <w:p w14:paraId="0C99EAB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 交通运输</w:t>
      </w:r>
    </w:p>
    <w:p w14:paraId="4623FA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4" w:name="_Toc303539100"/>
      <w:bookmarkStart w:id="35" w:name="_Toc300934943"/>
      <w:bookmarkStart w:id="36" w:name="_Toc312677986"/>
      <w:bookmarkStart w:id="37" w:name="_Toc318581155"/>
      <w:bookmarkStart w:id="38" w:name="_Toc304295521"/>
      <w:r>
        <w:rPr>
          <w:rFonts w:hint="eastAsia" w:ascii="宋体" w:hAnsi="宋体" w:eastAsia="宋体" w:cs="宋体"/>
          <w:color w:val="000000" w:themeColor="text1"/>
          <w:sz w:val="22"/>
          <w:szCs w:val="22"/>
          <w:highlight w:val="none"/>
          <w14:textFill>
            <w14:solidFill>
              <w14:schemeClr w14:val="tx1"/>
            </w14:solidFill>
          </w14:textFill>
        </w:rPr>
        <w:t>.10.1 出入现场的权利</w:t>
      </w:r>
    </w:p>
    <w:p w14:paraId="7B13522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关于出入现场的权利的约定：</w:t>
      </w:r>
      <w:r>
        <w:rPr>
          <w:rFonts w:hint="eastAsia" w:ascii="宋体" w:hAnsi="宋体" w:eastAsia="宋体" w:cs="宋体"/>
          <w:color w:val="000000" w:themeColor="text1"/>
          <w:sz w:val="22"/>
          <w:szCs w:val="22"/>
          <w:highlight w:val="none"/>
          <w:u w:val="single"/>
          <w14:textFill>
            <w14:solidFill>
              <w14:schemeClr w14:val="tx1"/>
            </w14:solidFill>
          </w14:textFill>
        </w:rPr>
        <w:t>根据施工需要，承包人负责取得出入施工现场所需的批准手续和全部权利，以及取得因施工所需修建道路、桥梁以及其他基础设施的权利，并承担相关手续费用和建设费用。承包人应遵守有关交通法规，严格按照道路和桥梁的限制荷载行驶，执行有关道路限速、限行、禁止超载的规定，并配合交通管理部门的监督和检查。场内、外交通设施无法满足工程施工需要的，由承包人负责完善并承担相关费用。因承包人原因造成上述道路或交通设施损坏的，承包人负责修复并承担由此增加的费用。其他按通用条款执行</w:t>
      </w:r>
      <w:r>
        <w:rPr>
          <w:rFonts w:hint="eastAsia" w:ascii="宋体" w:hAnsi="宋体" w:eastAsia="宋体" w:cs="宋体"/>
          <w:color w:val="000000" w:themeColor="text1"/>
          <w:sz w:val="22"/>
          <w:szCs w:val="22"/>
          <w:highlight w:val="none"/>
          <w14:textFill>
            <w14:solidFill>
              <w14:schemeClr w14:val="tx1"/>
            </w14:solidFill>
          </w14:textFill>
        </w:rPr>
        <w:t>。</w:t>
      </w:r>
    </w:p>
    <w:bookmarkEnd w:id="34"/>
    <w:bookmarkEnd w:id="35"/>
    <w:bookmarkEnd w:id="36"/>
    <w:bookmarkEnd w:id="37"/>
    <w:bookmarkEnd w:id="38"/>
    <w:p w14:paraId="1257FC3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9" w:name="_Toc300934944"/>
      <w:bookmarkStart w:id="40" w:name="_Toc318581156"/>
      <w:bookmarkStart w:id="41" w:name="_Toc312677987"/>
      <w:bookmarkStart w:id="42" w:name="_Toc303539101"/>
      <w:bookmarkStart w:id="43" w:name="_Toc304295522"/>
      <w:r>
        <w:rPr>
          <w:rFonts w:hint="eastAsia" w:ascii="宋体" w:hAnsi="宋体" w:eastAsia="宋体" w:cs="宋体"/>
          <w:color w:val="000000" w:themeColor="text1"/>
          <w:sz w:val="22"/>
          <w:szCs w:val="22"/>
          <w:highlight w:val="none"/>
          <w14:textFill>
            <w14:solidFill>
              <w14:schemeClr w14:val="tx1"/>
            </w14:solidFill>
          </w14:textFill>
        </w:rPr>
        <w:t>.10.3 场内交通</w:t>
      </w:r>
    </w:p>
    <w:p w14:paraId="35BA638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关于场外交通和场内交通的边界的约定：</w:t>
      </w:r>
      <w:r>
        <w:rPr>
          <w:rFonts w:hint="eastAsia" w:ascii="宋体" w:hAnsi="宋体" w:eastAsia="宋体" w:cs="宋体"/>
          <w:color w:val="000000" w:themeColor="text1"/>
          <w:sz w:val="22"/>
          <w:szCs w:val="22"/>
          <w:highlight w:val="none"/>
          <w:u w:val="single"/>
          <w14:textFill>
            <w14:solidFill>
              <w14:schemeClr w14:val="tx1"/>
            </w14:solidFill>
          </w14:textFill>
        </w:rPr>
        <w:t>场内、外交通均由承包人自行负责解决并承担费用,承包人应遵守有关交通法规，严格按照道路和桥梁的限制荷载行驶，执行有关道路限速、限行、禁止超载的规定，并配合交通管理部门的监督和检查。场内交通无法满足工程施工需要时,由承包人负责完善并承担相关费用。承包人负责修建、维修、养护和管理施工所需的其他场内临时道路和交通设施。发包人和监理人为实现合同目的，可无偿使用承包人修建的场内临时道路和交通设施。 因承包人原因造成上述道路或交通设施损坏的，承包人应负责修复并承担由此增加的费用。承包人必须符合施工现场之外的公路交通安全相关规定</w:t>
      </w:r>
      <w:r>
        <w:rPr>
          <w:rFonts w:hint="eastAsia" w:ascii="宋体" w:hAnsi="宋体" w:eastAsia="宋体" w:cs="宋体"/>
          <w:color w:val="000000" w:themeColor="text1"/>
          <w:sz w:val="22"/>
          <w:szCs w:val="22"/>
          <w:highlight w:val="none"/>
          <w14:textFill>
            <w14:solidFill>
              <w14:schemeClr w14:val="tx1"/>
            </w14:solidFill>
          </w14:textFill>
        </w:rPr>
        <w:t>。</w:t>
      </w:r>
    </w:p>
    <w:p w14:paraId="15C5D9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关于发包人向承包人免费提供满足工程施工需要的场内道路和交通设施的约定：</w:t>
      </w:r>
      <w:r>
        <w:rPr>
          <w:rFonts w:hint="eastAsia" w:ascii="宋体" w:hAnsi="宋体" w:eastAsia="宋体" w:cs="宋体"/>
          <w:color w:val="000000" w:themeColor="text1"/>
          <w:sz w:val="22"/>
          <w:szCs w:val="22"/>
          <w:highlight w:val="none"/>
          <w:u w:val="single"/>
          <w14:textFill>
            <w14:solidFill>
              <w14:schemeClr w14:val="tx1"/>
            </w14:solidFill>
          </w14:textFill>
        </w:rPr>
        <w:t>由承包人自行实施，其费用包含在签约合同价中</w:t>
      </w:r>
      <w:r>
        <w:rPr>
          <w:rFonts w:hint="eastAsia" w:ascii="宋体" w:hAnsi="宋体" w:eastAsia="宋体" w:cs="宋体"/>
          <w:color w:val="000000" w:themeColor="text1"/>
          <w:sz w:val="22"/>
          <w:szCs w:val="22"/>
          <w:highlight w:val="none"/>
          <w14:textFill>
            <w14:solidFill>
              <w14:schemeClr w14:val="tx1"/>
            </w14:solidFill>
          </w14:textFill>
        </w:rPr>
        <w:t>。</w:t>
      </w:r>
      <w:bookmarkEnd w:id="39"/>
      <w:bookmarkEnd w:id="40"/>
      <w:bookmarkEnd w:id="41"/>
      <w:bookmarkEnd w:id="42"/>
      <w:bookmarkEnd w:id="43"/>
      <w:bookmarkStart w:id="44" w:name="_Toc318581157"/>
    </w:p>
    <w:p w14:paraId="00040E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1.10.4超大件和超重件的运输</w:t>
      </w:r>
    </w:p>
    <w:p w14:paraId="2E361D3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运输超大件或超重件所需的道路和桥梁临时加固改造费用和其他有关费用由</w:t>
      </w:r>
      <w:r>
        <w:rPr>
          <w:rFonts w:hint="eastAsia" w:ascii="宋体" w:hAnsi="宋体" w:eastAsia="宋体" w:cs="宋体"/>
          <w:color w:val="000000" w:themeColor="text1"/>
          <w:sz w:val="22"/>
          <w:szCs w:val="22"/>
          <w:highlight w:val="none"/>
          <w:u w:val="single"/>
          <w14:textFill>
            <w14:solidFill>
              <w14:schemeClr w14:val="tx1"/>
            </w14:solidFill>
          </w14:textFill>
        </w:rPr>
        <w:t>承包人</w:t>
      </w:r>
      <w:r>
        <w:rPr>
          <w:rFonts w:hint="eastAsia" w:ascii="宋体" w:hAnsi="宋体" w:eastAsia="宋体" w:cs="宋体"/>
          <w:color w:val="000000" w:themeColor="text1"/>
          <w:sz w:val="22"/>
          <w:szCs w:val="22"/>
          <w:highlight w:val="none"/>
          <w14:textFill>
            <w14:solidFill>
              <w14:schemeClr w14:val="tx1"/>
            </w14:solidFill>
          </w14:textFill>
        </w:rPr>
        <w:t>承担。</w:t>
      </w:r>
    </w:p>
    <w:bookmarkEnd w:id="44"/>
    <w:p w14:paraId="3635053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 知识产权</w:t>
      </w:r>
    </w:p>
    <w:p w14:paraId="5866088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 </w:t>
      </w:r>
      <w:r>
        <w:rPr>
          <w:rFonts w:hint="eastAsia" w:ascii="宋体" w:hAnsi="宋体" w:eastAsia="宋体" w:cs="宋体"/>
          <w:color w:val="000000" w:themeColor="text1"/>
          <w:sz w:val="22"/>
          <w:szCs w:val="22"/>
          <w:highlight w:val="none"/>
          <w14:textFill>
            <w14:solidFill>
              <w14:schemeClr w14:val="tx1"/>
            </w14:solidFill>
          </w14:textFill>
        </w:rPr>
        <w:t>。</w:t>
      </w:r>
    </w:p>
    <w:p w14:paraId="742AF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10C351C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1.11.2 关于承包人为实施工程所编制文件的著作权的归属: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w:t>
      </w:r>
      <w:r>
        <w:rPr>
          <w:rFonts w:hint="eastAsia" w:ascii="宋体" w:hAnsi="宋体" w:eastAsia="宋体" w:cs="宋体"/>
          <w:color w:val="000000" w:themeColor="text1"/>
          <w:sz w:val="22"/>
          <w:szCs w:val="22"/>
          <w:highlight w:val="none"/>
          <w14:textFill>
            <w14:solidFill>
              <w14:schemeClr w14:val="tx1"/>
            </w14:solidFill>
          </w14:textFill>
        </w:rPr>
        <w:t>。</w:t>
      </w:r>
    </w:p>
    <w:p w14:paraId="3947A88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2003D6A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1.11.4 承包人在施工过程中所采用的专利、专有技术、技术秘密的使用费的承担方式：</w:t>
      </w:r>
      <w:r>
        <w:rPr>
          <w:rFonts w:hint="eastAsia" w:ascii="宋体" w:hAnsi="宋体" w:eastAsia="宋体" w:cs="宋体"/>
          <w:color w:val="000000" w:themeColor="text1"/>
          <w:sz w:val="22"/>
          <w:szCs w:val="22"/>
          <w:highlight w:val="none"/>
          <w:u w:val="single"/>
          <w14:textFill>
            <w14:solidFill>
              <w14:schemeClr w14:val="tx1"/>
            </w14:solidFill>
          </w14:textFill>
        </w:rPr>
        <w:t>由承包人承担,费用含在合同价中</w:t>
      </w:r>
      <w:r>
        <w:rPr>
          <w:rFonts w:hint="eastAsia" w:ascii="宋体" w:hAnsi="宋体" w:eastAsia="宋体" w:cs="宋体"/>
          <w:color w:val="000000" w:themeColor="text1"/>
          <w:sz w:val="22"/>
          <w:szCs w:val="22"/>
          <w:highlight w:val="none"/>
          <w14:textFill>
            <w14:solidFill>
              <w14:schemeClr w14:val="tx1"/>
            </w14:solidFill>
          </w14:textFill>
        </w:rPr>
        <w:t>。</w:t>
      </w:r>
    </w:p>
    <w:p w14:paraId="2393D19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1.13工程量清单错误的修正</w:t>
      </w:r>
    </w:p>
    <w:p w14:paraId="693AC9D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出现工程量清单错误时，是否调整合同价格：</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论招标时工程量清单中项目特征描述是否准确，发包人要求承包人的投标报价应为完成施工图纸该清单项的全部内容，若无相关设计变更，除本招标文件及施工合同中约定允许调整外中标的综合单价不予调整。工程量按实际完成的工程量结算，最终以发包人委托的有执业资格的工程造价咨询机构审核确认后的工程竣工结算价为准，其中，由承包人代交纳的相关规费等费用，在最终结算时凭缴费发票进入结算总价中或直接交予建设单位报销 </w:t>
      </w:r>
      <w:r>
        <w:rPr>
          <w:rFonts w:hint="eastAsia" w:ascii="宋体" w:hAnsi="宋体" w:eastAsia="宋体" w:cs="宋体"/>
          <w:color w:val="000000" w:themeColor="text1"/>
          <w:sz w:val="22"/>
          <w:szCs w:val="22"/>
          <w:highlight w:val="none"/>
          <w14:textFill>
            <w14:solidFill>
              <w14:schemeClr w14:val="tx1"/>
            </w14:solidFill>
          </w14:textFill>
        </w:rPr>
        <w:t>。</w:t>
      </w:r>
    </w:p>
    <w:p w14:paraId="6D7FB265">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允许调整合同价格的工程量偏差范围：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原工程量清单的误差、漏项、非承包人原因造成的工程变更（含设计变更）或其他不可预见的工程量 </w:t>
      </w:r>
      <w:r>
        <w:rPr>
          <w:rFonts w:hint="eastAsia" w:ascii="宋体" w:hAnsi="宋体" w:eastAsia="宋体" w:cs="宋体"/>
          <w:color w:val="000000" w:themeColor="text1"/>
          <w:sz w:val="22"/>
          <w:szCs w:val="22"/>
          <w:highlight w:val="none"/>
          <w14:textFill>
            <w14:solidFill>
              <w14:schemeClr w14:val="tx1"/>
            </w14:solidFill>
          </w14:textFill>
        </w:rPr>
        <w:t>。</w:t>
      </w:r>
    </w:p>
    <w:p w14:paraId="37DA61E7">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5" w:name="_Toc351203634"/>
      <w:r>
        <w:rPr>
          <w:rFonts w:hint="eastAsia" w:ascii="宋体" w:hAnsi="宋体" w:eastAsia="宋体" w:cs="宋体"/>
          <w:color w:val="000000" w:themeColor="text1"/>
          <w:sz w:val="22"/>
          <w:szCs w:val="22"/>
          <w:highlight w:val="none"/>
          <w14:textFill>
            <w14:solidFill>
              <w14:schemeClr w14:val="tx1"/>
            </w14:solidFill>
          </w14:textFill>
        </w:rPr>
        <w:t>2</w:t>
      </w:r>
      <w:bookmarkStart w:id="46" w:name="_Toc296891197"/>
      <w:bookmarkStart w:id="47" w:name="_Toc296347156"/>
      <w:bookmarkStart w:id="48" w:name="_Toc292559867"/>
      <w:bookmarkStart w:id="49" w:name="_Toc296503157"/>
      <w:bookmarkStart w:id="50" w:name="_Toc292559362"/>
      <w:bookmarkStart w:id="51" w:name="_Toc296890985"/>
      <w:bookmarkStart w:id="52" w:name="_Toc296944496"/>
      <w:bookmarkStart w:id="53" w:name="_Toc297048343"/>
      <w:bookmarkStart w:id="54" w:name="_Toc296346658"/>
      <w:bookmarkStart w:id="55" w:name="_Toc297120457"/>
      <w:r>
        <w:rPr>
          <w:rFonts w:hint="eastAsia" w:ascii="宋体" w:hAnsi="宋体" w:eastAsia="宋体" w:cs="宋体"/>
          <w:color w:val="000000" w:themeColor="text1"/>
          <w:sz w:val="22"/>
          <w:szCs w:val="22"/>
          <w:highlight w:val="none"/>
          <w14:textFill>
            <w14:solidFill>
              <w14:schemeClr w14:val="tx1"/>
            </w14:solidFill>
          </w14:textFill>
        </w:rPr>
        <w:t>. 发包人</w:t>
      </w:r>
      <w:bookmarkEnd w:id="45"/>
    </w:p>
    <w:bookmarkEnd w:id="46"/>
    <w:bookmarkEnd w:id="47"/>
    <w:bookmarkEnd w:id="48"/>
    <w:bookmarkEnd w:id="49"/>
    <w:bookmarkEnd w:id="50"/>
    <w:bookmarkEnd w:id="51"/>
    <w:bookmarkEnd w:id="52"/>
    <w:bookmarkEnd w:id="53"/>
    <w:bookmarkEnd w:id="54"/>
    <w:bookmarkEnd w:id="55"/>
    <w:p w14:paraId="6053CB5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2.2 发包人代表</w:t>
      </w:r>
    </w:p>
    <w:p w14:paraId="696BF7D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发包人代表：</w:t>
      </w:r>
    </w:p>
    <w:p w14:paraId="3B0DBE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94392D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25F29A2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3374434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130B4F9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6CA7A7D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47BC2C1">
      <w:pPr>
        <w:pageBreakBefore w:val="0"/>
        <w:kinsoku/>
        <w:wordWrap/>
        <w:overflowPunct/>
        <w:topLinePunct w:val="0"/>
        <w:bidi w:val="0"/>
        <w:snapToGrid/>
        <w:spacing w:line="400" w:lineRule="exact"/>
        <w:ind w:firstLine="440" w:firstLineChars="200"/>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发包人对发包人代表的授权范围如下：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代表发包人负责整体工程协调管理、批准所有签证及变更方案实施 </w:t>
      </w:r>
      <w:r>
        <w:rPr>
          <w:rFonts w:hint="eastAsia" w:ascii="宋体" w:hAnsi="宋体" w:eastAsia="宋体" w:cs="宋体"/>
          <w:color w:val="000000" w:themeColor="text1"/>
          <w:sz w:val="22"/>
          <w:szCs w:val="22"/>
          <w:highlight w:val="none"/>
          <w14:textFill>
            <w14:solidFill>
              <w14:schemeClr w14:val="tx1"/>
            </w14:solidFill>
          </w14:textFill>
        </w:rPr>
        <w:t>。</w:t>
      </w:r>
    </w:p>
    <w:p w14:paraId="104F79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 施工现场、施工条件和基础资料的提供</w:t>
      </w:r>
    </w:p>
    <w:p w14:paraId="5F11433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2.4.1 提供施工现场</w:t>
      </w:r>
    </w:p>
    <w:p w14:paraId="58124C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关于发包人移交施工现场的期限要求：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发包人按现状提供，其他由承包人负责，满足工程施工需要 </w:t>
      </w:r>
      <w:r>
        <w:rPr>
          <w:rFonts w:hint="eastAsia" w:ascii="宋体" w:hAnsi="宋体" w:eastAsia="宋体" w:cs="宋体"/>
          <w:color w:val="000000" w:themeColor="text1"/>
          <w:sz w:val="22"/>
          <w:szCs w:val="22"/>
          <w:highlight w:val="none"/>
          <w14:textFill>
            <w14:solidFill>
              <w14:schemeClr w14:val="tx1"/>
            </w14:solidFill>
          </w14:textFill>
        </w:rPr>
        <w:t>。</w:t>
      </w:r>
    </w:p>
    <w:p w14:paraId="3E0997A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2.4.2 提供施工条件</w:t>
      </w:r>
    </w:p>
    <w:p w14:paraId="31192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关于发包人应负责提供施工所需要的条件，包括：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用水、电由承包人自行处理，现场单独挂表计量，费用由承包人负责；施工场地与公共道路的通道开通，均由承包人自行处理，费用由承包人负责；开工前5天内协调处理施工场地周围地下管线和邻近筑物、构筑（含文物保护建筑）、古树名木的保护工作，费用由承包人负责。承包人主动向发包人了解地形情况，索取地质勘探资料，了解施工现场区域划分位置。充分了解工地位置、地形地貌情况（工地现场的地形对施工可能造成的影响）、道路、储存空间、装卸限制及任何其它足以影响承包价的情况。施工用水源、电源，由承包人自行解决，该费用由承包人在投标报价中考虑。任何因忽视或误解工地情况而导致的索赔或工期延长申请将不被批准 </w:t>
      </w:r>
      <w:r>
        <w:rPr>
          <w:rFonts w:hint="eastAsia" w:ascii="宋体" w:hAnsi="宋体" w:eastAsia="宋体" w:cs="宋体"/>
          <w:color w:val="000000" w:themeColor="text1"/>
          <w:sz w:val="22"/>
          <w:szCs w:val="22"/>
          <w:highlight w:val="none"/>
          <w14:textFill>
            <w14:solidFill>
              <w14:schemeClr w14:val="tx1"/>
            </w14:solidFill>
          </w14:textFill>
        </w:rPr>
        <w:t>。</w:t>
      </w:r>
    </w:p>
    <w:p w14:paraId="32AF514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2.5 资金来源证明及支付担保</w:t>
      </w:r>
    </w:p>
    <w:p w14:paraId="65FD6A6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发包人提供资金来源证明的期限要求：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已提供  </w:t>
      </w:r>
      <w:r>
        <w:rPr>
          <w:rFonts w:hint="eastAsia" w:ascii="宋体" w:hAnsi="宋体" w:eastAsia="宋体" w:cs="宋体"/>
          <w:color w:val="000000" w:themeColor="text1"/>
          <w:sz w:val="22"/>
          <w:szCs w:val="22"/>
          <w:highlight w:val="none"/>
          <w14:textFill>
            <w14:solidFill>
              <w14:schemeClr w14:val="tx1"/>
            </w14:solidFill>
          </w14:textFill>
        </w:rPr>
        <w:t>。</w:t>
      </w:r>
    </w:p>
    <w:p w14:paraId="1AC1C6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发包人是否提供支付担保：</w:t>
      </w:r>
      <w:r>
        <w:rPr>
          <w:rFonts w:hint="eastAsia" w:ascii="宋体" w:hAnsi="宋体" w:eastAsia="宋体" w:cs="宋体"/>
          <w:color w:val="000000" w:themeColor="text1"/>
          <w:sz w:val="22"/>
          <w:szCs w:val="22"/>
          <w:highlight w:val="none"/>
          <w:u w:val="single"/>
          <w14:textFill>
            <w14:solidFill>
              <w14:schemeClr w14:val="tx1"/>
            </w14:solidFill>
          </w14:textFill>
        </w:rPr>
        <w:t>发包人依法向施工单位提供工程款支付担保。</w:t>
      </w:r>
    </w:p>
    <w:p w14:paraId="7CFB91D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发包人提供支付担保的形式：</w:t>
      </w:r>
      <w:r>
        <w:rPr>
          <w:rFonts w:hint="eastAsia" w:ascii="宋体" w:hAnsi="宋体" w:eastAsia="宋体" w:cs="宋体"/>
          <w:color w:val="000000" w:themeColor="text1"/>
          <w:sz w:val="22"/>
          <w:szCs w:val="22"/>
          <w:highlight w:val="none"/>
          <w:u w:val="single"/>
          <w14:textFill>
            <w14:solidFill>
              <w14:schemeClr w14:val="tx1"/>
            </w14:solidFill>
          </w14:textFill>
        </w:rPr>
        <w:t>担保形式不限，对于资金落实到位的政府投资项目，建设单位可以根据合同约定将有权部门出具的相应资金来源证明作为支付担保凭证</w:t>
      </w:r>
      <w:r>
        <w:rPr>
          <w:rFonts w:hint="eastAsia" w:ascii="宋体" w:hAnsi="宋体" w:eastAsia="宋体" w:cs="宋体"/>
          <w:color w:val="000000" w:themeColor="text1"/>
          <w:sz w:val="22"/>
          <w:szCs w:val="22"/>
          <w:highlight w:val="none"/>
          <w14:textFill>
            <w14:solidFill>
              <w14:schemeClr w14:val="tx1"/>
            </w14:solidFill>
          </w14:textFill>
        </w:rPr>
        <w:t>。</w:t>
      </w:r>
    </w:p>
    <w:p w14:paraId="09271D3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6" w:name="_Toc351203635"/>
      <w:r>
        <w:rPr>
          <w:rFonts w:hint="eastAsia" w:ascii="宋体" w:hAnsi="宋体" w:eastAsia="宋体" w:cs="宋体"/>
          <w:color w:val="000000" w:themeColor="text1"/>
          <w:sz w:val="22"/>
          <w:szCs w:val="22"/>
          <w:highlight w:val="none"/>
          <w14:textFill>
            <w14:solidFill>
              <w14:schemeClr w14:val="tx1"/>
            </w14:solidFill>
          </w14:textFill>
        </w:rPr>
        <w:t>3</w:t>
      </w:r>
      <w:bookmarkStart w:id="57" w:name="_Toc296944497"/>
      <w:bookmarkStart w:id="58" w:name="_Toc296346659"/>
      <w:bookmarkStart w:id="59" w:name="_Toc297120458"/>
      <w:bookmarkStart w:id="60" w:name="_Toc292559363"/>
      <w:bookmarkStart w:id="61" w:name="_Toc297048344"/>
      <w:bookmarkStart w:id="62" w:name="_Toc292559868"/>
      <w:bookmarkStart w:id="63" w:name="_Toc296503158"/>
      <w:bookmarkStart w:id="64" w:name="_Toc296347157"/>
      <w:bookmarkStart w:id="65" w:name="_Toc296890986"/>
      <w:bookmarkStart w:id="66" w:name="_Toc296891198"/>
      <w:r>
        <w:rPr>
          <w:rFonts w:hint="eastAsia" w:ascii="宋体" w:hAnsi="宋体" w:eastAsia="宋体" w:cs="宋体"/>
          <w:color w:val="000000" w:themeColor="text1"/>
          <w:sz w:val="22"/>
          <w:szCs w:val="22"/>
          <w:highlight w:val="none"/>
          <w14:textFill>
            <w14:solidFill>
              <w14:schemeClr w14:val="tx1"/>
            </w14:solidFill>
          </w14:textFill>
        </w:rPr>
        <w:t>. 承包人</w:t>
      </w:r>
      <w:bookmarkEnd w:id="56"/>
    </w:p>
    <w:bookmarkEnd w:id="57"/>
    <w:bookmarkEnd w:id="58"/>
    <w:bookmarkEnd w:id="59"/>
    <w:bookmarkEnd w:id="60"/>
    <w:bookmarkEnd w:id="61"/>
    <w:bookmarkEnd w:id="62"/>
    <w:bookmarkEnd w:id="63"/>
    <w:bookmarkEnd w:id="64"/>
    <w:bookmarkEnd w:id="65"/>
    <w:bookmarkEnd w:id="66"/>
    <w:p w14:paraId="36846BAA">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bCs/>
          <w:color w:val="000000" w:themeColor="text1"/>
          <w:sz w:val="22"/>
          <w:szCs w:val="22"/>
          <w:highlight w:val="none"/>
          <w14:textFill>
            <w14:solidFill>
              <w14:schemeClr w14:val="tx1"/>
            </w14:solidFill>
          </w14:textFill>
        </w:rPr>
        <w:t>3.1 承包人的一般义务</w:t>
      </w:r>
    </w:p>
    <w:p w14:paraId="7DB593D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按发包人要求提交全套施工资料及竣工图  </w:t>
      </w:r>
      <w:r>
        <w:rPr>
          <w:rFonts w:hint="eastAsia" w:ascii="宋体" w:hAnsi="宋体" w:eastAsia="宋体" w:cs="宋体"/>
          <w:color w:val="000000" w:themeColor="text1"/>
          <w:sz w:val="22"/>
          <w:szCs w:val="22"/>
          <w:highlight w:val="none"/>
          <w14:textFill>
            <w14:solidFill>
              <w14:schemeClr w14:val="tx1"/>
            </w14:solidFill>
          </w14:textFill>
        </w:rPr>
        <w:t>。</w:t>
      </w:r>
    </w:p>
    <w:p w14:paraId="792D733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承包人需要提交的竣工资料套数：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竣工资料和竣工图  3 套 </w:t>
      </w:r>
      <w:r>
        <w:rPr>
          <w:rFonts w:hint="eastAsia" w:ascii="宋体" w:hAnsi="宋体" w:eastAsia="宋体" w:cs="宋体"/>
          <w:color w:val="000000" w:themeColor="text1"/>
          <w:sz w:val="22"/>
          <w:szCs w:val="22"/>
          <w:highlight w:val="none"/>
          <w14:textFill>
            <w14:solidFill>
              <w14:schemeClr w14:val="tx1"/>
            </w14:solidFill>
          </w14:textFill>
        </w:rPr>
        <w:t>。</w:t>
      </w:r>
    </w:p>
    <w:p w14:paraId="4B008B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承包人提交的竣工资料的费用承担：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7B74110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承包人提交的竣工资料移交时间：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工程竣工验收合格后60日内，提交竣工（含结算）资料，逾期移交处罚1000元/天，逾期移交超过三十天的，发包人可拒收资料，由此造成的后果由承包人负责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3E7C348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承包人提交的竣工资料形式要求：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书面资料及电子档资料 </w:t>
      </w:r>
      <w:r>
        <w:rPr>
          <w:rFonts w:hint="eastAsia" w:ascii="宋体" w:hAnsi="宋体" w:eastAsia="宋体" w:cs="宋体"/>
          <w:color w:val="000000" w:themeColor="text1"/>
          <w:sz w:val="22"/>
          <w:szCs w:val="22"/>
          <w:highlight w:val="none"/>
          <w14:textFill>
            <w14:solidFill>
              <w14:schemeClr w14:val="tx1"/>
            </w14:solidFill>
          </w14:textFill>
        </w:rPr>
        <w:t>。</w:t>
      </w:r>
    </w:p>
    <w:p w14:paraId="2892380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承包人应履行的其他义务：</w:t>
      </w:r>
    </w:p>
    <w:p w14:paraId="305B9F2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承担施工安全保卫工作及非夜间施工照明的责任和要求：承包人在各种危险部位设置明显的安全警示标志，安全警示标志必须符合国家标准，如发生安全事故，责任概由承包人承担，并按招标文件的相关约定要求进行处罚。</w:t>
      </w:r>
    </w:p>
    <w:p w14:paraId="6597FE47">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需承包人办理的有关施工场地交通、环卫环保和施工噪音管理等手续：遵守政府有关主管部门对施工场地交通、施工噪音、环境保护和安全生产等的管理规定，按规定办理有关手续，并以书面形式通知发包人，所有费用均已含在合同价中。</w:t>
      </w:r>
    </w:p>
    <w:p w14:paraId="192E6FDC">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③已完工程成品保护的特殊要求及费用承担：已竣工工程未交付发包人之前，负责已完成工程的保护工作，所需费用含在合同价内。</w:t>
      </w:r>
    </w:p>
    <w:p w14:paraId="063138A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④承包人必须对施工场地周围地下管线和邻近建筑物、构筑物进行保护，费用由承包人负责；如因承包人没有及时报告和保护而造成的一切经济损失和法律责任由承包人承担。</w:t>
      </w:r>
    </w:p>
    <w:p w14:paraId="4DAEF1E3">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⑤施工场地清洁卫生的要求：按文明工地标准，施工现场材料堆放要整齐，并有遮盖，不得扬尘，机械停放有序，符合清洁卫生要求，承担因自身原因违反有关规定造成的损失和罚款。</w:t>
      </w:r>
    </w:p>
    <w:p w14:paraId="33A36566">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⑥双方约定承包人应做的其他工作：施工场地要设立标语、标牌，做到文明施工，树立企业形象，主动接受社会监督和有关部门的管理。</w:t>
      </w:r>
    </w:p>
    <w:p w14:paraId="7B6B39E2">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⑦承包人在本专业工程竣工验收后七日内拆除所有临时设施，并清运出现场，费用由承包人负责。否则，如发生相关费用由发包人在工程竣工结算价款中扣除。</w:t>
      </w:r>
    </w:p>
    <w:p w14:paraId="47A61E6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⑧如发包人代扣代缴本工程应由承包人缴纳的各种费用，承包人必须履行发包人要求的各项手续，费用由承包人负责。</w:t>
      </w:r>
    </w:p>
    <w:p w14:paraId="21DDAFF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⑨本工程向建设主管部门办理的工程施工许可手续，由承包人代为办理，发包人协助，费用按规定承担。</w:t>
      </w:r>
    </w:p>
    <w:p w14:paraId="769FE94E">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⑩承包人无条件服从发包人管理工作的要求。自行协调与其它专业工程施工承包人（如有）之间的矛盾，如发生相关费用，由承包人自行承担。</w:t>
      </w:r>
    </w:p>
    <w:p w14:paraId="15BF4E89">
      <w:pPr>
        <w:pageBreakBefore w:val="0"/>
        <w:suppressAutoHyphens/>
        <w:kinsoku/>
        <w:wordWrap/>
        <w:overflowPunct/>
        <w:topLinePunct w:val="0"/>
        <w:bidi w:val="0"/>
        <w:snapToGrid/>
        <w:spacing w:line="400" w:lineRule="exact"/>
        <w:ind w:firstLine="420" w:firstLineChars="200"/>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Cs w:val="22"/>
          <w:highlight w:val="none"/>
          <w14:textFill>
            <w14:solidFill>
              <w14:schemeClr w14:val="tx1"/>
            </w14:solidFill>
          </w14:textFill>
        </w:rPr>
        <w:fldChar w:fldCharType="begin"/>
      </w:r>
      <w:r>
        <w:rPr>
          <w:rFonts w:hint="eastAsia" w:ascii="宋体" w:hAnsi="宋体" w:eastAsia="宋体" w:cs="宋体"/>
          <w:color w:val="000000" w:themeColor="text1"/>
          <w:szCs w:val="22"/>
          <w:highlight w:val="none"/>
          <w14:textFill>
            <w14:solidFill>
              <w14:schemeClr w14:val="tx1"/>
            </w14:solidFill>
          </w14:textFill>
        </w:rPr>
        <w:instrText xml:space="preserve">eq \o\ac(</w:instrText>
      </w:r>
      <w:r>
        <w:rPr>
          <w:rFonts w:hint="eastAsia" w:ascii="宋体" w:hAnsi="宋体" w:eastAsia="宋体" w:cs="宋体"/>
          <w:color w:val="000000" w:themeColor="text1"/>
          <w:position w:val="-4"/>
          <w:sz w:val="31"/>
          <w:szCs w:val="22"/>
          <w:highlight w:val="none"/>
          <w14:textFill>
            <w14:solidFill>
              <w14:schemeClr w14:val="tx1"/>
            </w14:solidFill>
          </w14:textFill>
        </w:rPr>
        <w:instrText xml:space="preserve">○</w:instrText>
      </w:r>
      <w:r>
        <w:rPr>
          <w:rFonts w:hint="eastAsia" w:ascii="宋体" w:hAnsi="宋体" w:eastAsia="宋体" w:cs="宋体"/>
          <w:color w:val="000000" w:themeColor="text1"/>
          <w:szCs w:val="22"/>
          <w:highlight w:val="none"/>
          <w14:textFill>
            <w14:solidFill>
              <w14:schemeClr w14:val="tx1"/>
            </w14:solidFill>
          </w14:textFill>
        </w:rPr>
        <w:instrText xml:space="preserve">,11)</w:instrText>
      </w:r>
      <w:r>
        <w:rPr>
          <w:rFonts w:hint="eastAsia" w:ascii="宋体" w:hAnsi="宋体" w:eastAsia="宋体" w:cs="宋体"/>
          <w:color w:val="000000" w:themeColor="text1"/>
          <w:szCs w:val="22"/>
          <w:highlight w:val="none"/>
          <w14:textFill>
            <w14:solidFill>
              <w14:schemeClr w14:val="tx1"/>
            </w14:solidFill>
          </w14:textFill>
        </w:rPr>
        <w:fldChar w:fldCharType="end"/>
      </w:r>
      <w:r>
        <w:rPr>
          <w:rFonts w:hint="eastAsia" w:ascii="宋体" w:hAnsi="宋体" w:eastAsia="宋体" w:cs="宋体"/>
          <w:b/>
          <w:color w:val="000000" w:themeColor="text1"/>
          <w:sz w:val="22"/>
          <w:szCs w:val="22"/>
          <w:highlight w:val="none"/>
          <w:u w:val="single"/>
          <w14:textFill>
            <w14:solidFill>
              <w14:schemeClr w14:val="tx1"/>
            </w14:solidFill>
          </w14:textFill>
        </w:rPr>
        <w:t>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3C19B04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 项目经理</w:t>
      </w:r>
    </w:p>
    <w:p w14:paraId="3EA3420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3.2.1 项目经理：</w:t>
      </w:r>
    </w:p>
    <w:p w14:paraId="6351FB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CCAAB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B9D2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建造师执业资格等级：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3D248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建造师注册证书号：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856554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建造师执业印章号：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488FA0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安全生产考核合格证书号：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E16CE8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AD2A09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9712F3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DB4415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承包人对项目经理的授权范围如下：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对本工程的施工进度、质量、安全、工期、付款、以及设计变更等全面跟踪监督及服务，协调各方面矛盾 </w:t>
      </w:r>
      <w:r>
        <w:rPr>
          <w:rFonts w:hint="eastAsia" w:ascii="宋体" w:hAnsi="宋体" w:eastAsia="宋体" w:cs="宋体"/>
          <w:color w:val="000000" w:themeColor="text1"/>
          <w:sz w:val="22"/>
          <w:szCs w:val="22"/>
          <w:highlight w:val="none"/>
          <w14:textFill>
            <w14:solidFill>
              <w14:schemeClr w14:val="tx1"/>
            </w14:solidFill>
          </w14:textFill>
        </w:rPr>
        <w:t>。</w:t>
      </w:r>
    </w:p>
    <w:p w14:paraId="6CC176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关于项目经理每月在施工现场的时间要求：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该工程施工过程中项目经理和签订合同前经发包人、监理单位及主管部门认定的项目部其他人员必须常驻现场实施施工管理</w:t>
      </w:r>
      <w:r>
        <w:rPr>
          <w:rFonts w:hint="eastAsia" w:ascii="宋体" w:hAnsi="宋体" w:eastAsia="宋体" w:cs="宋体"/>
          <w:color w:val="000000" w:themeColor="text1"/>
          <w:sz w:val="22"/>
          <w:szCs w:val="22"/>
          <w:highlight w:val="none"/>
          <w14:textFill>
            <w14:solidFill>
              <w14:schemeClr w14:val="tx1"/>
            </w14:solidFill>
          </w14:textFill>
        </w:rPr>
        <w:t>。</w:t>
      </w:r>
    </w:p>
    <w:p w14:paraId="054F19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承包人未提交劳动合同，以及没有为项目经理缴纳社会保险证明的违约责任：</w:t>
      </w:r>
      <w:r>
        <w:rPr>
          <w:rFonts w:hint="eastAsia" w:ascii="宋体" w:hAnsi="宋体" w:eastAsia="宋体" w:cs="宋体"/>
          <w:color w:val="000000" w:themeColor="text1"/>
          <w:sz w:val="22"/>
          <w:szCs w:val="22"/>
          <w:highlight w:val="none"/>
          <w:u w:val="single"/>
          <w14:textFill>
            <w14:solidFill>
              <w14:schemeClr w14:val="tx1"/>
            </w14:solidFill>
          </w14:textFill>
        </w:rPr>
        <w:t>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6B8CA41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项目经理未经批准，擅自离开施工现场的违约责任：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中途项目经理需离岗必须履行书面请假手续并经发包人同意。若未经发包人同意而擅自离岗的，将处以每人每天 2000 元的违约金，在支付工程款时从应付的工程款中扣除。若擅自离岗连续达7天以上的，经发包人提出仍未改正的，发包人有权终止合同，因此给发包人造成损失的，发包人将依法追偿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1E465F7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3.2.3 承包人擅自更换项目经理的违约责任：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未经发包人同意擅自更换的，发包人有权终止合同</w:t>
      </w:r>
      <w:r>
        <w:rPr>
          <w:rFonts w:hint="eastAsia" w:ascii="宋体" w:hAnsi="宋体" w:eastAsia="宋体" w:cs="宋体"/>
          <w:color w:val="000000" w:themeColor="text1"/>
          <w:sz w:val="22"/>
          <w:szCs w:val="22"/>
          <w:highlight w:val="none"/>
          <w14:textFill>
            <w14:solidFill>
              <w14:schemeClr w14:val="tx1"/>
            </w14:solidFill>
          </w14:textFill>
        </w:rPr>
        <w:t>。</w:t>
      </w:r>
    </w:p>
    <w:p w14:paraId="11C4B738">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3.2.4 承包人无正当理由拒绝更换项目经理的违约责任：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6DAD67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 承包人人员</w:t>
      </w:r>
    </w:p>
    <w:p w14:paraId="0D80624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3.3.1 承包人提交项目管理机构及施工现场管理人员安排报告的期限：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施工合同签订后3日内完成  </w:t>
      </w:r>
      <w:r>
        <w:rPr>
          <w:rFonts w:hint="eastAsia" w:ascii="宋体" w:hAnsi="宋体" w:eastAsia="宋体" w:cs="宋体"/>
          <w:color w:val="000000" w:themeColor="text1"/>
          <w:sz w:val="22"/>
          <w:szCs w:val="22"/>
          <w:highlight w:val="none"/>
          <w14:textFill>
            <w14:solidFill>
              <w14:schemeClr w14:val="tx1"/>
            </w14:solidFill>
          </w14:textFill>
        </w:rPr>
        <w:t>。</w:t>
      </w:r>
    </w:p>
    <w:p w14:paraId="4C467ED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3.3.3 承包人无正当理由拒绝撤换主要施工管理人员的违约责任：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3CF49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3.3.4 承包人主要施工管理人员离开施工现场的批准要求：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中途施工管理人员需离岗必须履行书面请假手续并经发包人同意 </w:t>
      </w:r>
      <w:r>
        <w:rPr>
          <w:rFonts w:hint="eastAsia" w:ascii="宋体" w:hAnsi="宋体" w:eastAsia="宋体" w:cs="宋体"/>
          <w:color w:val="000000" w:themeColor="text1"/>
          <w:sz w:val="22"/>
          <w:szCs w:val="22"/>
          <w:highlight w:val="none"/>
          <w14:textFill>
            <w14:solidFill>
              <w14:schemeClr w14:val="tx1"/>
            </w14:solidFill>
          </w14:textFill>
        </w:rPr>
        <w:t>。</w:t>
      </w:r>
    </w:p>
    <w:p w14:paraId="0A83A8E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3.3.5承包人擅自更换主要施工管理人员的违约责任：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将处以每人5000元的罚款 </w:t>
      </w:r>
      <w:r>
        <w:rPr>
          <w:rFonts w:hint="eastAsia" w:ascii="宋体" w:hAnsi="宋体" w:eastAsia="宋体" w:cs="宋体"/>
          <w:color w:val="000000" w:themeColor="text1"/>
          <w:sz w:val="22"/>
          <w:szCs w:val="22"/>
          <w:highlight w:val="none"/>
          <w14:textFill>
            <w14:solidFill>
              <w14:schemeClr w14:val="tx1"/>
            </w14:solidFill>
          </w14:textFill>
        </w:rPr>
        <w:t>。</w:t>
      </w:r>
    </w:p>
    <w:p w14:paraId="23E4550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承包人主要施工管理人员擅自离开施工现场的违约责任：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未经发包人同意而擅自离岗的，将处以每人每天2000元的违约金，在支付工程款时从应付的工程款中扣除。若擅自离岗连续达7天以上的，经发包人提出仍未改正的，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18A7F104">
      <w:pPr>
        <w:pageBreakBefore w:val="0"/>
        <w:kinsoku/>
        <w:wordWrap/>
        <w:overflowPunct/>
        <w:topLinePunct w:val="0"/>
        <w:bidi w:val="0"/>
        <w:snapToGrid/>
        <w:spacing w:line="400" w:lineRule="exact"/>
        <w:ind w:firstLine="552"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注：工程项目部管理人员必须严格按招投标文件要求及时配备到位。所有人员有持证要求的必须持证上岗，在项目经理的统一领导下，尽心尽职地做好本职工作。如不能胜任工作的，发包人将有权建议更换，直到更换至能胜任现场管理工作为止。</w:t>
      </w:r>
    </w:p>
    <w:p w14:paraId="482179D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67" w:name="_Toc296346660"/>
      <w:bookmarkStart w:id="68" w:name="_Toc292559869"/>
      <w:bookmarkStart w:id="69" w:name="_Toc296347158"/>
      <w:bookmarkStart w:id="70" w:name="_Toc296944498"/>
      <w:bookmarkStart w:id="71" w:name="_Toc292559364"/>
      <w:bookmarkStart w:id="72" w:name="_Toc296503159"/>
      <w:bookmarkStart w:id="73" w:name="_Toc297120459"/>
      <w:bookmarkStart w:id="74" w:name="_Toc312677988"/>
      <w:bookmarkStart w:id="75" w:name="_Toc296890987"/>
      <w:bookmarkStart w:id="76" w:name="_Toc300934945"/>
      <w:bookmarkStart w:id="77" w:name="_Toc297216151"/>
      <w:bookmarkStart w:id="78" w:name="_Toc303539102"/>
      <w:bookmarkStart w:id="79" w:name="_Toc297048345"/>
      <w:bookmarkStart w:id="80" w:name="_Toc297123492"/>
      <w:bookmarkStart w:id="81" w:name="_Toc304295523"/>
      <w:bookmarkStart w:id="82" w:name="_Toc296891199"/>
      <w:r>
        <w:rPr>
          <w:rFonts w:hint="eastAsia" w:ascii="宋体" w:hAnsi="宋体" w:eastAsia="宋体" w:cs="宋体"/>
          <w:color w:val="000000" w:themeColor="text1"/>
          <w:sz w:val="22"/>
          <w:szCs w:val="22"/>
          <w:highlight w:val="none"/>
          <w14:textFill>
            <w14:solidFill>
              <w14:schemeClr w14:val="tx1"/>
            </w14:solidFill>
          </w14:textFill>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5D0B12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83" w:name="_Toc303539103"/>
      <w:bookmarkStart w:id="84" w:name="_Toc296346661"/>
      <w:bookmarkStart w:id="85" w:name="_Toc296890988"/>
      <w:bookmarkStart w:id="86" w:name="_Toc297120460"/>
      <w:bookmarkStart w:id="87" w:name="_Toc296503160"/>
      <w:bookmarkStart w:id="88" w:name="_Toc297216152"/>
      <w:bookmarkStart w:id="89" w:name="_Toc296347159"/>
      <w:bookmarkStart w:id="90" w:name="_Toc292559870"/>
      <w:bookmarkStart w:id="91" w:name="_Toc292559365"/>
      <w:bookmarkStart w:id="92" w:name="_Toc300934946"/>
      <w:bookmarkStart w:id="93" w:name="_Toc304295524"/>
      <w:bookmarkStart w:id="94" w:name="_Toc297123493"/>
      <w:bookmarkStart w:id="95" w:name="_Toc296891200"/>
      <w:bookmarkStart w:id="96" w:name="_Toc296944499"/>
      <w:bookmarkStart w:id="97" w:name="_Toc297048346"/>
      <w:bookmarkStart w:id="98" w:name="_Toc318581158"/>
      <w:bookmarkStart w:id="99" w:name="_Toc312677989"/>
      <w:r>
        <w:rPr>
          <w:rFonts w:hint="eastAsia" w:ascii="宋体" w:hAnsi="宋体" w:eastAsia="宋体" w:cs="宋体"/>
          <w:color w:val="000000" w:themeColor="text1"/>
          <w:sz w:val="22"/>
          <w:szCs w:val="22"/>
          <w:highlight w:val="none"/>
          <w14:textFill>
            <w14:solidFill>
              <w14:schemeClr w14:val="tx1"/>
            </w14:solidFill>
          </w14:textFill>
        </w:rPr>
        <w:t>.5.1 分包的一般约定</w:t>
      </w:r>
    </w:p>
    <w:p w14:paraId="5A02FA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禁止分包的工程包括：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主体结构、关键性工作  </w:t>
      </w:r>
      <w:r>
        <w:rPr>
          <w:rFonts w:hint="eastAsia" w:ascii="宋体" w:hAnsi="宋体" w:eastAsia="宋体" w:cs="宋体"/>
          <w:color w:val="000000" w:themeColor="text1"/>
          <w:sz w:val="22"/>
          <w:szCs w:val="22"/>
          <w:highlight w:val="none"/>
          <w14:textFill>
            <w14:solidFill>
              <w14:schemeClr w14:val="tx1"/>
            </w14:solidFill>
          </w14:textFill>
        </w:rPr>
        <w:t>。</w:t>
      </w:r>
    </w:p>
    <w:p w14:paraId="6ED0C8D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主体结构、关键性工作的范围：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依据有关法律法规、规定、标准及设计文件的规定 </w:t>
      </w:r>
      <w:r>
        <w:rPr>
          <w:rFonts w:hint="eastAsia" w:ascii="宋体" w:hAnsi="宋体" w:eastAsia="宋体" w:cs="宋体"/>
          <w:color w:val="000000" w:themeColor="text1"/>
          <w:sz w:val="22"/>
          <w:szCs w:val="22"/>
          <w:highlight w:val="none"/>
          <w14:textFill>
            <w14:solidFill>
              <w14:schemeClr w14:val="tx1"/>
            </w14:solidFill>
          </w14:textFill>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100" w:name="_Toc300934947"/>
      <w:bookmarkStart w:id="101" w:name="_Toc296891201"/>
      <w:bookmarkStart w:id="102" w:name="_Toc297123494"/>
      <w:bookmarkStart w:id="103" w:name="_Toc304295525"/>
      <w:bookmarkStart w:id="104" w:name="_Toc297120461"/>
      <w:bookmarkStart w:id="105" w:name="_Toc303539104"/>
      <w:bookmarkStart w:id="106" w:name="_Toc296944500"/>
      <w:bookmarkStart w:id="107" w:name="_Toc296346662"/>
      <w:bookmarkStart w:id="108" w:name="_Toc297216153"/>
      <w:bookmarkStart w:id="109" w:name="_Toc296347160"/>
      <w:bookmarkStart w:id="110" w:name="_Toc296890989"/>
      <w:bookmarkStart w:id="111" w:name="_Toc297048347"/>
      <w:bookmarkStart w:id="112" w:name="_Toc296503161"/>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56641154">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w:t>
      </w:r>
      <w:bookmarkStart w:id="113" w:name="_Toc318581159"/>
      <w:bookmarkStart w:id="114" w:name="_Toc312677990"/>
      <w:r>
        <w:rPr>
          <w:rFonts w:hint="eastAsia" w:ascii="宋体" w:hAnsi="宋体" w:eastAsia="宋体" w:cs="宋体"/>
          <w:color w:val="000000" w:themeColor="text1"/>
          <w:sz w:val="22"/>
          <w:szCs w:val="22"/>
          <w:highlight w:val="none"/>
          <w14:textFill>
            <w14:solidFill>
              <w14:schemeClr w14:val="tx1"/>
            </w14:solidFill>
          </w14:textFill>
        </w:rPr>
        <w:t>.5.2分包的确定</w:t>
      </w:r>
    </w:p>
    <w:p w14:paraId="32A169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允许分包的专业工程包括：</w:t>
      </w:r>
      <w:r>
        <w:rPr>
          <w:rFonts w:hint="eastAsia" w:ascii="宋体" w:hAnsi="宋体" w:eastAsia="宋体" w:cs="宋体"/>
          <w:color w:val="000000" w:themeColor="text1"/>
          <w:sz w:val="22"/>
          <w:szCs w:val="22"/>
          <w:highlight w:val="none"/>
          <w:u w:val="single"/>
          <w14:textFill>
            <w14:solidFill>
              <w14:schemeClr w14:val="tx1"/>
            </w14:solidFill>
          </w14:textFill>
        </w:rPr>
        <w:t>如确有主体结构、关键性工作之外的专业工程需要分包的，须经发包人认可</w:t>
      </w:r>
      <w:r>
        <w:rPr>
          <w:rFonts w:hint="eastAsia" w:ascii="宋体" w:hAnsi="宋体" w:eastAsia="宋体" w:cs="宋体"/>
          <w:color w:val="000000" w:themeColor="text1"/>
          <w:sz w:val="22"/>
          <w:szCs w:val="22"/>
          <w:highlight w:val="none"/>
          <w14:textFill>
            <w14:solidFill>
              <w14:schemeClr w14:val="tx1"/>
            </w14:solidFill>
          </w14:textFill>
        </w:rPr>
        <w:t>。</w:t>
      </w:r>
    </w:p>
    <w:p w14:paraId="779C83B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其他关于分包的约定：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对于发包人进行的专业分包项目，承包人须对安全、质量、工程进度等进行分包管理并承担总包责任 </w:t>
      </w:r>
      <w:r>
        <w:rPr>
          <w:rFonts w:hint="eastAsia" w:ascii="宋体" w:hAnsi="宋体" w:eastAsia="宋体" w:cs="宋体"/>
          <w:color w:val="000000" w:themeColor="text1"/>
          <w:sz w:val="22"/>
          <w:szCs w:val="22"/>
          <w:highlight w:val="none"/>
          <w14:textFill>
            <w14:solidFill>
              <w14:schemeClr w14:val="tx1"/>
            </w14:solidFill>
          </w14:textFill>
        </w:rPr>
        <w:t>。</w:t>
      </w:r>
    </w:p>
    <w:p w14:paraId="6D6F67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3.5.4 分包合同价款</w:t>
      </w:r>
    </w:p>
    <w:p w14:paraId="3BE5067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关于分包合同价款支付的约定：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按分包合同约定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13"/>
    <w:bookmarkEnd w:id="114"/>
    <w:p w14:paraId="58C7A4C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3.6 工程照管与成品、半成品保护</w:t>
      </w:r>
    </w:p>
    <w:p w14:paraId="7F85016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承包人负责照管工程及工程相关的材料、工程设备的起始时间：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进场直至施工完成交付使用，费用由承包人承担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p w14:paraId="5FE7B12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 履约担保</w:t>
      </w:r>
    </w:p>
    <w:p w14:paraId="37E45A2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承包人是否提供履约担保：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w:t>
      </w:r>
    </w:p>
    <w:p w14:paraId="74C31E7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承包人提供履约担保的形式、金额及期限的：</w:t>
      </w:r>
      <w:bookmarkStart w:id="115" w:name="_Toc351203636"/>
    </w:p>
    <w:p w14:paraId="5695436E">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3.7.1缴纳时间：中标人在收到中标通知书后，须在合同签订前，向招标人足额提交履约保证金或者保函，否则招标人可以取消中标资格；</w:t>
      </w:r>
    </w:p>
    <w:p w14:paraId="1D190C5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3.7.2缴纳金额：乙方交纳合同价的10%（去尾法，到百元）作为本项目的履约保证金；</w:t>
      </w:r>
    </w:p>
    <w:p w14:paraId="47FB19B7">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3.7.3缴纳方式：供应商应当以转账、支票、汇票、本票或者金融机构、担保机构出具的保函、保险公司保险单等形式提交。</w:t>
      </w:r>
    </w:p>
    <w:p w14:paraId="3DD325CD">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3.7.4本项目对AA评级及以上政府采购供应商（需提供信用管理部门备案的第三方信用报告）免收履约保证金。</w:t>
      </w:r>
    </w:p>
    <w:p w14:paraId="5CC0473C">
      <w:pPr>
        <w:pageBreakBefore w:val="0"/>
        <w:widowControl/>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备注：鼓励采购人对AA评级及以上政府采购供应商（需提供信用管理部门备案的第三方信用报告）免收履约保证金或降低履约保证金缴纳比例。依据《关于在全省政府采购领域推行电子履约保函（保险）的通知》，鼓励供应商自愿使用履约保函（保险）代替缴纳履约保证金）。</w:t>
      </w:r>
    </w:p>
    <w:p w14:paraId="72CE6376">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3.7.5履约保证金的退还</w:t>
      </w:r>
    </w:p>
    <w:p w14:paraId="765BEA8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3.7.5.1方式：退还至乙方缴纳履约保证金的账户。如为保函，乙方需提供保函至项目验收合格结束，验收合格结束后保函自动失效。</w:t>
      </w:r>
    </w:p>
    <w:p w14:paraId="0F4AA7A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3.7.5.2时间：项目全部完成并验收合格。</w:t>
      </w:r>
    </w:p>
    <w:p w14:paraId="77AA4AD3">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3.7.5.4不予退还情形：</w:t>
      </w:r>
    </w:p>
    <w:p w14:paraId="69DCCEC9">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除不可抗力情况外，乙方出现下列情形之一的，将视情节决定履约保证金是否不予退还。</w:t>
      </w:r>
    </w:p>
    <w:p w14:paraId="0F5217E7">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（1）乙方无正当理由拒绝签订合同的，或者在签订合同时向甲方提出附加条件或者更改合同实质性内容要求的；</w:t>
      </w:r>
    </w:p>
    <w:p w14:paraId="7B90F5A2">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（2）乙方不履行与甲方订立的合同的；</w:t>
      </w:r>
    </w:p>
    <w:p w14:paraId="0EBC058A">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（3）乙方所供货物或服务不符合磋商文件规定要求的；</w:t>
      </w:r>
    </w:p>
    <w:p w14:paraId="555698D1">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（4）乙方采取欺骗、弄虚作假方式投标的或与其它磋商供应商串通投标的；</w:t>
      </w:r>
    </w:p>
    <w:p w14:paraId="2D2CE208">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（5）乙方故意捏造事实或伪造证明材料，进行虚假恶意投诉或反映的。</w:t>
      </w:r>
    </w:p>
    <w:p w14:paraId="1970FDF7">
      <w:pPr>
        <w:pageBreakBefore w:val="0"/>
        <w:kinsoku/>
        <w:wordWrap/>
        <w:overflowPunct/>
        <w:topLinePunct w:val="0"/>
        <w:bidi w:val="0"/>
        <w:snapToGrid/>
        <w:spacing w:line="400" w:lineRule="exact"/>
        <w:ind w:firstLine="48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3.7.5.5逾期退还的违约责任：甲方逾期无故未退还履约保证金的，按中国人民银行同期存款基准利率支付超期资金占用费，但因乙方自身原因导致无法及时退还的除外。</w:t>
      </w:r>
    </w:p>
    <w:p w14:paraId="0DF5E5C0">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w:t>
      </w:r>
      <w:bookmarkStart w:id="116" w:name="_Toc292559871"/>
      <w:bookmarkStart w:id="117" w:name="_Toc292559366"/>
      <w:bookmarkStart w:id="118" w:name="_Toc296890990"/>
      <w:bookmarkStart w:id="119" w:name="_Toc297048348"/>
      <w:bookmarkStart w:id="120" w:name="_Toc297120462"/>
      <w:bookmarkStart w:id="121" w:name="_Toc296346663"/>
      <w:bookmarkStart w:id="122" w:name="_Toc296944501"/>
      <w:bookmarkStart w:id="123" w:name="_Toc267251413"/>
      <w:bookmarkStart w:id="124" w:name="_Toc296891202"/>
      <w:bookmarkStart w:id="125" w:name="_Toc296503162"/>
      <w:bookmarkStart w:id="126" w:name="_Toc296347161"/>
      <w:r>
        <w:rPr>
          <w:rFonts w:hint="eastAsia" w:ascii="宋体" w:hAnsi="宋体" w:eastAsia="宋体" w:cs="宋体"/>
          <w:color w:val="000000" w:themeColor="text1"/>
          <w:sz w:val="22"/>
          <w:szCs w:val="22"/>
          <w:highlight w:val="none"/>
          <w14:textFill>
            <w14:solidFill>
              <w14:schemeClr w14:val="tx1"/>
            </w14:solidFill>
          </w14:textFill>
        </w:rPr>
        <w:t>. 监</w:t>
      </w:r>
      <w:bookmarkEnd w:id="116"/>
      <w:bookmarkEnd w:id="117"/>
      <w:bookmarkEnd w:id="118"/>
      <w:bookmarkEnd w:id="119"/>
      <w:bookmarkEnd w:id="120"/>
      <w:bookmarkEnd w:id="121"/>
      <w:bookmarkEnd w:id="122"/>
      <w:bookmarkEnd w:id="123"/>
      <w:bookmarkEnd w:id="124"/>
      <w:bookmarkEnd w:id="125"/>
      <w:bookmarkEnd w:id="126"/>
      <w:r>
        <w:rPr>
          <w:rFonts w:hint="eastAsia" w:ascii="宋体" w:hAnsi="宋体" w:eastAsia="宋体" w:cs="宋体"/>
          <w:color w:val="000000" w:themeColor="text1"/>
          <w:sz w:val="22"/>
          <w:szCs w:val="22"/>
          <w:highlight w:val="none"/>
          <w14:textFill>
            <w14:solidFill>
              <w14:schemeClr w14:val="tx1"/>
            </w14:solidFill>
          </w14:textFill>
        </w:rPr>
        <w:t>理人</w:t>
      </w:r>
      <w:bookmarkEnd w:id="115"/>
    </w:p>
    <w:p w14:paraId="5708B20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4.1监理人的一般规定</w:t>
      </w:r>
    </w:p>
    <w:p w14:paraId="15AE7C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 </w:t>
      </w:r>
      <w:r>
        <w:rPr>
          <w:rFonts w:hint="eastAsia" w:ascii="宋体" w:hAnsi="宋体" w:eastAsia="宋体" w:cs="宋体"/>
          <w:color w:val="000000" w:themeColor="text1"/>
          <w:sz w:val="22"/>
          <w:szCs w:val="22"/>
          <w:highlight w:val="none"/>
          <w14:textFill>
            <w14:solidFill>
              <w14:schemeClr w14:val="tx1"/>
            </w14:solidFill>
          </w14:textFill>
        </w:rPr>
        <w:t>。</w:t>
      </w:r>
    </w:p>
    <w:p w14:paraId="477968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关于监理人的监理权限：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根据《建设工程监理合同》约定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67B14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关于监理人在施工现场的办公场所、生活场所的提供和费用承担的约定：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由承包人提供，相关费用包含在签约合同价中 </w:t>
      </w:r>
      <w:r>
        <w:rPr>
          <w:rFonts w:hint="eastAsia" w:ascii="宋体" w:hAnsi="宋体" w:eastAsia="宋体" w:cs="宋体"/>
          <w:color w:val="000000" w:themeColor="text1"/>
          <w:sz w:val="22"/>
          <w:szCs w:val="22"/>
          <w:highlight w:val="none"/>
          <w14:textFill>
            <w14:solidFill>
              <w14:schemeClr w14:val="tx1"/>
            </w14:solidFill>
          </w14:textFill>
        </w:rPr>
        <w:t>。</w:t>
      </w:r>
    </w:p>
    <w:p w14:paraId="0266453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4.2 监理人员</w:t>
      </w:r>
    </w:p>
    <w:p w14:paraId="6E9ABD8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总监理工程师：</w:t>
      </w:r>
    </w:p>
    <w:p w14:paraId="1F5C8C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9C61B6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3DE28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监理工程师执业资格证书号：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52B2B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98640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A9C868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B5EB2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关于监理人的其他约定：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凡涉及到设计变更、开工令、停工令、复工令及与工程造价有关的所有签证等事项，需要取得发包人批准才能行使的职权 </w:t>
      </w:r>
      <w:r>
        <w:rPr>
          <w:rFonts w:hint="eastAsia" w:ascii="宋体" w:hAnsi="宋体" w:eastAsia="宋体" w:cs="宋体"/>
          <w:color w:val="000000" w:themeColor="text1"/>
          <w:sz w:val="22"/>
          <w:szCs w:val="22"/>
          <w:highlight w:val="none"/>
          <w14:textFill>
            <w14:solidFill>
              <w14:schemeClr w14:val="tx1"/>
            </w14:solidFill>
          </w14:textFill>
        </w:rPr>
        <w:t>。</w:t>
      </w:r>
    </w:p>
    <w:p w14:paraId="6790CF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4.4 商定或确定</w:t>
      </w:r>
    </w:p>
    <w:p w14:paraId="144EF8A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bookmarkStart w:id="127" w:name="_Toc267251418"/>
      <w:r>
        <w:rPr>
          <w:rFonts w:hint="eastAsia" w:ascii="宋体" w:hAnsi="宋体" w:eastAsia="宋体" w:cs="宋体"/>
          <w:color w:val="000000" w:themeColor="text1"/>
          <w:sz w:val="22"/>
          <w:szCs w:val="22"/>
          <w:highlight w:val="none"/>
          <w14:textFill>
            <w14:solidFill>
              <w14:schemeClr w14:val="tx1"/>
            </w14:solidFill>
          </w14:textFill>
        </w:rPr>
        <w:t>在发包人和承包人不能通过协商达成一致意见时，发包人授权监理人对以下事项进行确定：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根据监理合同约定进行  </w:t>
      </w:r>
      <w:r>
        <w:rPr>
          <w:rFonts w:hint="eastAsia" w:ascii="宋体" w:hAnsi="宋体" w:eastAsia="宋体" w:cs="宋体"/>
          <w:color w:val="000000" w:themeColor="text1"/>
          <w:sz w:val="22"/>
          <w:szCs w:val="22"/>
          <w:highlight w:val="none"/>
          <w14:textFill>
            <w14:solidFill>
              <w14:schemeClr w14:val="tx1"/>
            </w14:solidFill>
          </w14:textFill>
        </w:rPr>
        <w:t>.</w:t>
      </w:r>
    </w:p>
    <w:p w14:paraId="4EF6AAD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28" w:name="_Toc351203637"/>
      <w:r>
        <w:rPr>
          <w:rFonts w:hint="eastAsia" w:ascii="宋体" w:hAnsi="宋体" w:eastAsia="宋体" w:cs="宋体"/>
          <w:color w:val="000000" w:themeColor="text1"/>
          <w:sz w:val="22"/>
          <w:szCs w:val="22"/>
          <w:highlight w:val="none"/>
          <w14:textFill>
            <w14:solidFill>
              <w14:schemeClr w14:val="tx1"/>
            </w14:solidFill>
          </w14:textFill>
        </w:rPr>
        <w:t>5</w:t>
      </w:r>
      <w:bookmarkEnd w:id="127"/>
      <w:bookmarkStart w:id="129" w:name="_Toc296503163"/>
      <w:bookmarkStart w:id="130" w:name="_Toc292559872"/>
      <w:bookmarkStart w:id="131" w:name="_Toc292559367"/>
      <w:bookmarkStart w:id="132" w:name="_Toc297048349"/>
      <w:bookmarkStart w:id="133" w:name="_Toc296890991"/>
      <w:bookmarkStart w:id="134" w:name="_Toc296346664"/>
      <w:bookmarkStart w:id="135" w:name="_Toc297120463"/>
      <w:bookmarkStart w:id="136" w:name="_Toc296891203"/>
      <w:bookmarkStart w:id="137" w:name="_Toc296347162"/>
      <w:bookmarkStart w:id="138" w:name="_Toc296944502"/>
      <w:r>
        <w:rPr>
          <w:rFonts w:hint="eastAsia" w:ascii="宋体" w:hAnsi="宋体" w:eastAsia="宋体" w:cs="宋体"/>
          <w:color w:val="000000" w:themeColor="text1"/>
          <w:sz w:val="22"/>
          <w:szCs w:val="22"/>
          <w:highlight w:val="none"/>
          <w14:textFill>
            <w14:solidFill>
              <w14:schemeClr w14:val="tx1"/>
            </w14:solidFill>
          </w14:textFill>
        </w:rPr>
        <w:t>. 工程质量</w:t>
      </w:r>
      <w:bookmarkEnd w:id="128"/>
    </w:p>
    <w:p w14:paraId="6FE699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5.1 质量要求</w:t>
      </w:r>
    </w:p>
    <w:p w14:paraId="7048ED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w:t>
      </w:r>
      <w:bookmarkStart w:id="139" w:name="_Toc297123496"/>
      <w:bookmarkStart w:id="140" w:name="_Toc303539106"/>
      <w:bookmarkStart w:id="141" w:name="_Toc297216155"/>
      <w:bookmarkStart w:id="142" w:name="_Toc312677997"/>
      <w:bookmarkStart w:id="143" w:name="_Toc304295527"/>
      <w:bookmarkStart w:id="144" w:name="_Toc300934949"/>
      <w:bookmarkStart w:id="145" w:name="_Toc318581164"/>
      <w:r>
        <w:rPr>
          <w:rFonts w:hint="eastAsia" w:ascii="宋体" w:hAnsi="宋体" w:eastAsia="宋体" w:cs="宋体"/>
          <w:color w:val="000000" w:themeColor="text1"/>
          <w:sz w:val="22"/>
          <w:szCs w:val="22"/>
          <w:highlight w:val="none"/>
          <w14:textFill>
            <w14:solidFill>
              <w14:schemeClr w14:val="tx1"/>
            </w14:solidFill>
          </w14:textFill>
        </w:rPr>
        <w:t>.1.1 特殊质量标准和要求：</w:t>
      </w:r>
    </w:p>
    <w:p w14:paraId="359D8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①本工程质量必须达到承包人中标时承诺的质量标准及目标。</w:t>
      </w:r>
    </w:p>
    <w:p w14:paraId="7FEA20C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发包人要求质量确保达到国家“合格”标准。若一次性验收不合格的，承包人按承包范围内工程合同价的3%向发包人支付违约金，直接从本工程的履约保证金或工程款中扣除。由此造成的工期延误将不予顺延，给发包人造成实际损失的还将承担经济赔偿责任。同时，承包人必须无偿整改达到承诺质量标准，保证工程按期交付使用。</w:t>
      </w:r>
    </w:p>
    <w:p w14:paraId="4B5442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承包人须严格按照设计图纸、质量标准、验收规范等组织施工，接受发包人、监理单位的检查。若发生工序、检验批等验收不符合质量目标要求的，每发生一次接受发包人以每次5000元-20000元的扣款，相关费用直接从应付工程款中扣除。若发生分项工程验收不符合质量目标要求的，每发生一次接受发包人以每次10000元-50000元的扣款，相关费用直接从应付工程款中扣除。若发生分部工程验收不符合质量目标要求的，每发生一次接受发包人以每次20000元-100000元的扣款，相关费用直接从应付工程款中扣除。另外承包人在执行上述要求的同时，并不免除在限期内整改到位、继续履行其他合同条款的义务，由此发生的所有费用均由承包人承担，工期、造价不给予补偿。若未按照发包人要求及时整改到位的发包人有权委托第三方代为实施，所发生的费用由承包人承担。拒不整改的发包人有权终止施工合同，已经完成的工作量按照70%结算。</w:t>
      </w:r>
    </w:p>
    <w:p w14:paraId="5ED56DE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承包人须按法律法规及相关规定要求将建筑材料、建筑构配件、设备和商品混凝土，涉及安全的试块、试件及有关材料等送有甲方指定相应资质的检测单位检测，承包人最终将凭具有相应资质的检测单位出具的检测报告作为对工程质量评定的依据。对关键部位、关键工序及隐蔽部位须按相关规定要求报质量监督部门验收通过，否则发包人不予认可。</w:t>
      </w:r>
    </w:p>
    <w:p w14:paraId="29127F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④非发包人原因，质量整改所发生的费用不予增加。</w:t>
      </w:r>
    </w:p>
    <w:p w14:paraId="6F528CE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关于工程奖项的约定：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1D8931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 隐蔽工程检查</w:t>
      </w:r>
    </w:p>
    <w:p w14:paraId="33B3B45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5.3.2承包人提前通知监理人隐蔽工程检查的期限的约定：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按监理交底执行 </w:t>
      </w:r>
      <w:r>
        <w:rPr>
          <w:rFonts w:hint="eastAsia" w:ascii="宋体" w:hAnsi="宋体" w:eastAsia="宋体" w:cs="宋体"/>
          <w:color w:val="000000" w:themeColor="text1"/>
          <w:sz w:val="22"/>
          <w:szCs w:val="22"/>
          <w:highlight w:val="none"/>
          <w14:textFill>
            <w14:solidFill>
              <w14:schemeClr w14:val="tx1"/>
            </w14:solidFill>
          </w14:textFill>
        </w:rPr>
        <w:t>。</w:t>
      </w:r>
    </w:p>
    <w:p w14:paraId="3376AB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监理人不能按时进行检查时，应提前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4A4FE0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57EC96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6" w:name="_Toc351203638"/>
      <w:r>
        <w:rPr>
          <w:rFonts w:hint="eastAsia" w:ascii="宋体" w:hAnsi="宋体" w:eastAsia="宋体" w:cs="宋体"/>
          <w:color w:val="000000" w:themeColor="text1"/>
          <w:sz w:val="22"/>
          <w:szCs w:val="22"/>
          <w:highlight w:val="none"/>
          <w14:textFill>
            <w14:solidFill>
              <w14:schemeClr w14:val="tx1"/>
            </w14:solidFill>
          </w14:textFill>
        </w:rPr>
        <w:t>6. 安全文明施工与环境保护</w:t>
      </w:r>
      <w:bookmarkEnd w:id="146"/>
    </w:p>
    <w:p w14:paraId="4F10E2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6.1安全文明施工</w:t>
      </w:r>
    </w:p>
    <w:p w14:paraId="5916349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6.1.1 项目安全生产的达标目标及相应事项的约定：</w:t>
      </w:r>
      <w:r>
        <w:rPr>
          <w:rFonts w:hint="eastAsia" w:ascii="宋体" w:hAnsi="宋体" w:eastAsia="宋体" w:cs="宋体"/>
          <w:color w:val="000000" w:themeColor="text1"/>
          <w:sz w:val="22"/>
          <w:szCs w:val="22"/>
          <w:highlight w:val="none"/>
          <w:u w:val="single"/>
          <w14:textFill>
            <w14:solidFill>
              <w14:schemeClr w14:val="tx1"/>
            </w14:solidFill>
          </w14:textFill>
        </w:rPr>
        <w:t>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14:paraId="068CE8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14:paraId="1DDD5F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5000元/次的违约金。对发现的重大隐患的，承包人将承担10000元/次的违约金。施工期间如发生安全生产伤亡事故时，承包人应按规定及时上报有关部门并通知发包人，同时按相关规定处理 </w:t>
      </w:r>
      <w:r>
        <w:rPr>
          <w:rFonts w:hint="eastAsia" w:ascii="宋体" w:hAnsi="宋体" w:eastAsia="宋体" w:cs="宋体"/>
          <w:color w:val="000000" w:themeColor="text1"/>
          <w:sz w:val="22"/>
          <w:szCs w:val="22"/>
          <w:highlight w:val="none"/>
          <w14:textFill>
            <w14:solidFill>
              <w14:schemeClr w14:val="tx1"/>
            </w14:solidFill>
          </w14:textFill>
        </w:rPr>
        <w:t>。</w:t>
      </w:r>
    </w:p>
    <w:p w14:paraId="726403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6.1.4 关于治安保卫的特别约定：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0A28703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关于编制施工场地治安管理计划的约定：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E2E14F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6.1.5 文明施工</w:t>
      </w:r>
    </w:p>
    <w:p w14:paraId="0C8C70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合同当事人对文明施工的要求：</w:t>
      </w:r>
    </w:p>
    <w:p w14:paraId="267A94B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在施工过程中应严格执行国家、省、市、行业主管部门关于文明施工的有关规定，加强文明施工、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14:paraId="008277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（2）施工工作面内所有现场清理、矛盾协调处理等含在合同价内，结算时不予调整。</w:t>
      </w:r>
    </w:p>
    <w:p w14:paraId="3AEA38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（3）施工过程中应确保沿线单位、小区居民的临时出行和正常的生产生活秩序，协调处理好相关矛盾，费用由承包人自行负责。</w:t>
      </w:r>
    </w:p>
    <w:p w14:paraId="2E98101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（4）因施工安全所需设置的各种警示标牌、警示灯、施工现场围护、导行交通、安全防护等措施费用由承包人自行负责。</w:t>
      </w:r>
    </w:p>
    <w:p w14:paraId="01E0E12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（5）工程施工过程中遇到的地方矛盾及由此发生的费用由承包人自行负责。</w:t>
      </w:r>
    </w:p>
    <w:p w14:paraId="25DAD99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（6）施工过程中如因承包人造成周边地上、地下附作物等损坏，均由承包人自行负责赔偿。</w:t>
      </w:r>
    </w:p>
    <w:p w14:paraId="051301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（7）工程质量、工期、现场安全文明施工等的管理按照发包人为强化项目管理所制定的各项管理制度执行，相关管理规定如有调整应按最新文件执行。</w:t>
      </w:r>
    </w:p>
    <w:p w14:paraId="07A0BB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（8）本工程施工现场的围挡按照盐市城管〔2018〕6号文执行，围挡设置的效果和结构参照市政公用工程施工现场围挡设置推荐图册，围挡应优先采用装配式施工，重复利用。</w:t>
      </w:r>
    </w:p>
    <w:p w14:paraId="47EA65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9）承包人必须严执行盐建建筑〔2018〕18号文《2018年盐城市建筑工地施工扬尘治理实施方案》的要求，如违反规定，除整改外，承包人还须向发包人支付每次不少于5000元的违约金，承包人必须在发包人处理决定后3日内以现金形式交由发包人。</w:t>
      </w:r>
    </w:p>
    <w:p w14:paraId="09BC5C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6.1.6 关于安全文明施工费支付比例和支付期限的约定：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本工程安全文明施工费不单独支付，包含在工程款中支付，详见12.4.1约定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39"/>
    <w:bookmarkEnd w:id="140"/>
    <w:bookmarkEnd w:id="141"/>
    <w:bookmarkEnd w:id="142"/>
    <w:bookmarkEnd w:id="143"/>
    <w:bookmarkEnd w:id="144"/>
    <w:bookmarkEnd w:id="145"/>
    <w:p w14:paraId="62795A6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7" w:name="_Toc351203639"/>
      <w:r>
        <w:rPr>
          <w:rFonts w:hint="eastAsia" w:ascii="宋体" w:hAnsi="宋体" w:eastAsia="宋体" w:cs="宋体"/>
          <w:color w:val="000000" w:themeColor="text1"/>
          <w:sz w:val="22"/>
          <w:szCs w:val="22"/>
          <w:highlight w:val="none"/>
          <w14:textFill>
            <w14:solidFill>
              <w14:schemeClr w14:val="tx1"/>
            </w14:solidFill>
          </w14:textFill>
        </w:rPr>
        <w:t>7. 工期和进度</w:t>
      </w:r>
      <w:bookmarkEnd w:id="147"/>
    </w:p>
    <w:p w14:paraId="08E6DC9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 施工组织设计</w:t>
      </w:r>
    </w:p>
    <w:p w14:paraId="33B707A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7.1.1 合同当事人约定的施工组织设计应包括的其他内容：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提交详细施工组织设计的期限的约定：中标通知书发出后，承包人的法定代表人（或授权委托人）和项目经理应在三日内向发包人提交一份施工进度计划进行确认并与发包人签订施工合同。承包人严格按照经发包人批准的施工计划组织施工。承包人接受发包人对进度的检查、监督，工程实际进度与经确认的进度计划不符时，承包人应按发包人的要求及时提出改进措施，经发包人书面确认后执行。因承包人的原因导致实际进度与进度计划不符，承包人无权就改进措施提出追加合同工期、修改合同条款或提高合同价款，承包人施工组织设计中编制进度计划时按日历天为单位考虑工作量 </w:t>
      </w:r>
      <w:r>
        <w:rPr>
          <w:rFonts w:hint="eastAsia" w:ascii="宋体" w:hAnsi="宋体" w:eastAsia="宋体" w:cs="宋体"/>
          <w:color w:val="000000" w:themeColor="text1"/>
          <w:sz w:val="22"/>
          <w:szCs w:val="22"/>
          <w:highlight w:val="none"/>
          <w14:textFill>
            <w14:solidFill>
              <w14:schemeClr w14:val="tx1"/>
            </w14:solidFill>
          </w14:textFill>
        </w:rPr>
        <w:t>。</w:t>
      </w:r>
    </w:p>
    <w:p w14:paraId="5328FE9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7.1.2 施工组织设计的提交和修改</w:t>
      </w:r>
    </w:p>
    <w:p w14:paraId="2417CB1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承包人提交详细施工组织设计的期限的约定：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在合同签订后3日内 </w:t>
      </w:r>
      <w:r>
        <w:rPr>
          <w:rFonts w:hint="eastAsia" w:ascii="宋体" w:hAnsi="宋体" w:eastAsia="宋体" w:cs="宋体"/>
          <w:color w:val="000000" w:themeColor="text1"/>
          <w:sz w:val="22"/>
          <w:szCs w:val="22"/>
          <w:highlight w:val="none"/>
          <w14:textFill>
            <w14:solidFill>
              <w14:schemeClr w14:val="tx1"/>
            </w14:solidFill>
          </w14:textFill>
        </w:rPr>
        <w:t>。</w:t>
      </w:r>
    </w:p>
    <w:p w14:paraId="6D80214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发包人和监理人在收到详细的施工组织设计后确认或提出修改意见的期限：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w:t>
      </w:r>
      <w:r>
        <w:rPr>
          <w:rFonts w:hint="eastAsia" w:ascii="宋体" w:hAnsi="宋体" w:eastAsia="宋体" w:cs="宋体"/>
          <w:color w:val="000000" w:themeColor="text1"/>
          <w:sz w:val="22"/>
          <w:szCs w:val="22"/>
          <w:highlight w:val="none"/>
          <w14:textFill>
            <w14:solidFill>
              <w14:schemeClr w14:val="tx1"/>
            </w14:solidFill>
          </w14:textFill>
        </w:rPr>
        <w:t>。</w:t>
      </w:r>
    </w:p>
    <w:p w14:paraId="07266B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48" w:name="_Toc312677479"/>
      <w:bookmarkStart w:id="149" w:name="_Toc303539123"/>
      <w:bookmarkStart w:id="150" w:name="_Toc297123514"/>
      <w:bookmarkStart w:id="151" w:name="_Toc297216173"/>
      <w:bookmarkStart w:id="152" w:name="_Toc304295541"/>
      <w:bookmarkStart w:id="153" w:name="_Toc312678005"/>
      <w:bookmarkStart w:id="154" w:name="_Toc300934966"/>
      <w:r>
        <w:rPr>
          <w:rFonts w:hint="eastAsia" w:ascii="宋体" w:hAnsi="宋体" w:eastAsia="宋体" w:cs="宋体"/>
          <w:color w:val="000000" w:themeColor="text1"/>
          <w:sz w:val="22"/>
          <w:szCs w:val="22"/>
          <w:highlight w:val="none"/>
          <w14:textFill>
            <w14:solidFill>
              <w14:schemeClr w14:val="tx1"/>
            </w14:solidFill>
          </w14:textFill>
        </w:rPr>
        <w:t>.2 施工进度计划</w:t>
      </w:r>
    </w:p>
    <w:p w14:paraId="3C8E2E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7.2.2 施工进度计划的修订</w:t>
      </w:r>
    </w:p>
    <w:p w14:paraId="3A340B6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发包人和监理人在收到修订的施工进度计划后确认或提出修改意见的期限：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26995A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 开工</w:t>
      </w:r>
    </w:p>
    <w:p w14:paraId="4480BFD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7.3.1 开工准备</w:t>
      </w:r>
    </w:p>
    <w:p w14:paraId="66D90F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关于承包人提交工程开工报审表的期限：</w:t>
      </w:r>
      <w:r>
        <w:rPr>
          <w:rFonts w:hint="eastAsia" w:ascii="宋体" w:hAnsi="宋体" w:eastAsia="宋体" w:cs="宋体"/>
          <w:color w:val="000000" w:themeColor="text1"/>
          <w:sz w:val="22"/>
          <w:szCs w:val="22"/>
          <w:highlight w:val="none"/>
          <w:u w:val="single"/>
          <w14:textFill>
            <w14:solidFill>
              <w14:schemeClr w14:val="tx1"/>
            </w14:solidFill>
          </w14:textFill>
        </w:rPr>
        <w:t>计划开工日期前7天提交开工报审表或开工报告</w:t>
      </w:r>
      <w:r>
        <w:rPr>
          <w:rFonts w:hint="eastAsia" w:ascii="宋体" w:hAnsi="宋体" w:eastAsia="宋体" w:cs="宋体"/>
          <w:color w:val="000000" w:themeColor="text1"/>
          <w:sz w:val="22"/>
          <w:szCs w:val="22"/>
          <w:highlight w:val="none"/>
          <w14:textFill>
            <w14:solidFill>
              <w14:schemeClr w14:val="tx1"/>
            </w14:solidFill>
          </w14:textFill>
        </w:rPr>
        <w:t>。</w:t>
      </w:r>
    </w:p>
    <w:p w14:paraId="5A3752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开工前提供工程地质和地下管线资料；办理的施工所需证件、批件；交验水准点与坐标控制点交验 </w:t>
      </w:r>
      <w:r>
        <w:rPr>
          <w:rFonts w:hint="eastAsia" w:ascii="宋体" w:hAnsi="宋体" w:eastAsia="宋体" w:cs="宋体"/>
          <w:color w:val="000000" w:themeColor="text1"/>
          <w:sz w:val="22"/>
          <w:szCs w:val="22"/>
          <w:highlight w:val="none"/>
          <w14:textFill>
            <w14:solidFill>
              <w14:schemeClr w14:val="tx1"/>
            </w14:solidFill>
          </w14:textFill>
        </w:rPr>
        <w:t>。</w:t>
      </w:r>
    </w:p>
    <w:p w14:paraId="077F923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开工前必须向发包人和总包单位提供施工进度计划、材料清单、材料进场计划、劳动力计划</w:t>
      </w:r>
      <w:r>
        <w:rPr>
          <w:rFonts w:hint="eastAsia" w:ascii="宋体" w:hAnsi="宋体" w:eastAsia="宋体" w:cs="宋体"/>
          <w:color w:val="000000" w:themeColor="text1"/>
          <w:sz w:val="22"/>
          <w:szCs w:val="22"/>
          <w:highlight w:val="none"/>
          <w14:textFill>
            <w14:solidFill>
              <w14:schemeClr w14:val="tx1"/>
            </w14:solidFill>
          </w14:textFill>
        </w:rPr>
        <w:t>。</w:t>
      </w:r>
    </w:p>
    <w:p w14:paraId="5CFB20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7.3.2开工通知</w:t>
      </w:r>
    </w:p>
    <w:p w14:paraId="5222E5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因发包人原因造成监理人未能在计划开工日期之日起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天内发出开工通知的，承包人有权提出价格调整要求，或者解除合同。</w:t>
      </w:r>
    </w:p>
    <w:bookmarkEnd w:id="148"/>
    <w:bookmarkEnd w:id="149"/>
    <w:bookmarkEnd w:id="150"/>
    <w:bookmarkEnd w:id="151"/>
    <w:bookmarkEnd w:id="152"/>
    <w:bookmarkEnd w:id="153"/>
    <w:bookmarkEnd w:id="154"/>
    <w:p w14:paraId="10778C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 测量放线</w:t>
      </w:r>
    </w:p>
    <w:p w14:paraId="622389F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7.4.1发包人通过监理人向承包人提供测量基准点、基准线和水准点及其书面资料的期限：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开工前现场交验  </w:t>
      </w:r>
      <w:r>
        <w:rPr>
          <w:rFonts w:hint="eastAsia" w:ascii="宋体" w:hAnsi="宋体" w:eastAsia="宋体" w:cs="宋体"/>
          <w:color w:val="000000" w:themeColor="text1"/>
          <w:sz w:val="22"/>
          <w:szCs w:val="22"/>
          <w:highlight w:val="none"/>
          <w14:textFill>
            <w14:solidFill>
              <w14:schemeClr w14:val="tx1"/>
            </w14:solidFill>
          </w14:textFill>
        </w:rPr>
        <w:t>。</w:t>
      </w:r>
    </w:p>
    <w:p w14:paraId="767541C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55" w:name="_Toc300934968"/>
      <w:bookmarkStart w:id="156" w:name="_Toc312678010"/>
      <w:bookmarkStart w:id="157" w:name="_Toc303539125"/>
      <w:bookmarkStart w:id="158" w:name="_Toc297216175"/>
      <w:bookmarkStart w:id="159" w:name="_Toc312677484"/>
      <w:bookmarkStart w:id="160" w:name="_Toc304295546"/>
      <w:bookmarkStart w:id="161" w:name="_Toc297123516"/>
      <w:r>
        <w:rPr>
          <w:rFonts w:hint="eastAsia" w:ascii="宋体" w:hAnsi="宋体" w:eastAsia="宋体" w:cs="宋体"/>
          <w:color w:val="000000" w:themeColor="text1"/>
          <w:sz w:val="22"/>
          <w:szCs w:val="22"/>
          <w:highlight w:val="none"/>
          <w14:textFill>
            <w14:solidFill>
              <w14:schemeClr w14:val="tx1"/>
            </w14:solidFill>
          </w14:textFill>
        </w:rPr>
        <w:t>.5 工期延误</w:t>
      </w:r>
    </w:p>
    <w:bookmarkEnd w:id="155"/>
    <w:bookmarkEnd w:id="156"/>
    <w:bookmarkEnd w:id="157"/>
    <w:bookmarkEnd w:id="158"/>
    <w:bookmarkEnd w:id="159"/>
    <w:bookmarkEnd w:id="160"/>
    <w:bookmarkEnd w:id="161"/>
    <w:p w14:paraId="70DCC7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7.5.1 因发包人原因导致工期延误</w:t>
      </w:r>
    </w:p>
    <w:p w14:paraId="20242E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（7）因发包人原因导致工期延误的其他情形：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①一周内非承包方原因停电、停水累计达8小时以上；②发包人未能及时提供施工图纸；③经发包人确认的不可抗力因素；④合同中约定的或发包人同意工期顺延的其他情况。上述情况必须经发包人、监理单位书面确认 </w:t>
      </w:r>
      <w:r>
        <w:rPr>
          <w:rFonts w:hint="eastAsia" w:ascii="宋体" w:hAnsi="宋体" w:eastAsia="宋体" w:cs="宋体"/>
          <w:color w:val="000000" w:themeColor="text1"/>
          <w:sz w:val="22"/>
          <w:szCs w:val="22"/>
          <w:highlight w:val="none"/>
          <w14:textFill>
            <w14:solidFill>
              <w14:schemeClr w14:val="tx1"/>
            </w14:solidFill>
          </w14:textFill>
        </w:rPr>
        <w:t>。</w:t>
      </w:r>
    </w:p>
    <w:p w14:paraId="41E8D1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本工程根据发包人的情况可能分段实施，因分段实施造成的临时设施、设备进退场、管理费、措施费等所有可能增加的费用承包人充分考虑，发包人不因此增加任何费用。承包人在投标报价中自行考虑相关费用。</w:t>
      </w:r>
    </w:p>
    <w:p w14:paraId="4C72A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62" w:name="_Toc318581169"/>
      <w:bookmarkStart w:id="163" w:name="_Toc312678012"/>
      <w:bookmarkStart w:id="164" w:name="_Toc312677486"/>
      <w:bookmarkStart w:id="165" w:name="_Toc304295548"/>
      <w:bookmarkStart w:id="166" w:name="_Toc303539127"/>
      <w:bookmarkStart w:id="167" w:name="_Toc297216177"/>
      <w:bookmarkStart w:id="168" w:name="_Toc300934970"/>
      <w:bookmarkStart w:id="169" w:name="_Toc297123518"/>
      <w:r>
        <w:rPr>
          <w:rFonts w:hint="eastAsia" w:ascii="宋体" w:hAnsi="宋体" w:eastAsia="宋体" w:cs="宋体"/>
          <w:color w:val="000000" w:themeColor="text1"/>
          <w:sz w:val="22"/>
          <w:szCs w:val="22"/>
          <w:highlight w:val="none"/>
          <w14:textFill>
            <w14:solidFill>
              <w14:schemeClr w14:val="tx1"/>
            </w14:solidFill>
          </w14:textFill>
        </w:rPr>
        <w:t>.5.2 因承包人原因导致工期延误</w:t>
      </w:r>
    </w:p>
    <w:bookmarkEnd w:id="162"/>
    <w:bookmarkEnd w:id="163"/>
    <w:bookmarkEnd w:id="164"/>
    <w:p w14:paraId="3DFEFC63">
      <w:pPr>
        <w:pageBreakBefore w:val="0"/>
        <w:tabs>
          <w:tab w:val="left" w:pos="8931"/>
        </w:tab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w:t>
      </w:r>
      <w:bookmarkStart w:id="170" w:name="_Toc312677487"/>
      <w:bookmarkStart w:id="171" w:name="_Toc312678013"/>
      <w:bookmarkStart w:id="172" w:name="_Toc318581170"/>
      <w:r>
        <w:rPr>
          <w:rFonts w:hint="eastAsia" w:ascii="宋体" w:hAnsi="宋体" w:eastAsia="宋体" w:cs="宋体"/>
          <w:color w:val="000000" w:themeColor="text1"/>
          <w:sz w:val="22"/>
          <w:szCs w:val="22"/>
          <w:highlight w:val="none"/>
          <w14:textFill>
            <w14:solidFill>
              <w14:schemeClr w14:val="tx1"/>
            </w14:solidFill>
          </w14:textFill>
        </w:rPr>
        <w:t>承包人原因造成工期延误，逾期竣工违约金的计算方法为：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开工时间以发包人批准的开工通知日期为准。如因不可抗力或发包人原因造成工期延误的，经监理和发包人书面签证确认后工期顺延，承包人不得以任何借口停工怠工。发包人将按承包人的施工进度计划表对施工进度进行考核：①承包人须严格按照进度计划组织施工，若发生未能按照进度计划表约定的节点工期建设，须在限期内整改，赶工到位，同时接受发包人以每次5000元的违约金，相关费用直接从工程款项中扣除。②在限期内未完成的，发包人将直接委托第三方代为赶工，所发生的实际费用由承包人承担，同时接受发包人以每次实际发生费用的双倍的违约金，相关费用直接从工程款项中扣除。③拒绝执行上述条款的，发包人有权清退承包人，已经发生的工作量按照审定后合格工程量的70%结算，同时由此造成的损失均由承包人承担。如因承包人的原因导致工程不能按期开工或按期竣工交付的，承包人应当向发包人支付每延期1天2000元违约金。承包人施工组织设计中编制进度计划时，应按天为单位考虑工作量，施工期间发包人将对照该进度计划进行考核，以每天(特殊情况考核周期可作适当调整)为一个考核周期。连续达两个（不含）以上考核期没完成工程进度计划的，发包人有权委托第三方代为赶工，按发生的费用的双倍直接从承包人工程款中扣除 </w:t>
      </w:r>
      <w:r>
        <w:rPr>
          <w:rFonts w:hint="eastAsia" w:ascii="宋体" w:hAnsi="宋体" w:eastAsia="宋体" w:cs="宋体"/>
          <w:color w:val="000000" w:themeColor="text1"/>
          <w:sz w:val="22"/>
          <w:szCs w:val="22"/>
          <w:highlight w:val="none"/>
          <w14:textFill>
            <w14:solidFill>
              <w14:schemeClr w14:val="tx1"/>
            </w14:solidFill>
          </w14:textFill>
        </w:rPr>
        <w:t>。</w:t>
      </w:r>
      <w:bookmarkEnd w:id="165"/>
      <w:bookmarkEnd w:id="166"/>
      <w:bookmarkEnd w:id="167"/>
      <w:bookmarkEnd w:id="168"/>
      <w:bookmarkEnd w:id="169"/>
      <w:bookmarkEnd w:id="170"/>
      <w:bookmarkEnd w:id="171"/>
    </w:p>
    <w:bookmarkEnd w:id="172"/>
    <w:p w14:paraId="65B979A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因承包人原因造成工期延误，逾</w:t>
      </w:r>
      <w:bookmarkStart w:id="173" w:name="_Toc312678014"/>
      <w:bookmarkStart w:id="174" w:name="_Toc318581171"/>
      <w:r>
        <w:rPr>
          <w:rFonts w:hint="eastAsia" w:ascii="宋体" w:hAnsi="宋体" w:eastAsia="宋体" w:cs="宋体"/>
          <w:color w:val="000000" w:themeColor="text1"/>
          <w:sz w:val="22"/>
          <w:szCs w:val="22"/>
          <w:highlight w:val="none"/>
          <w14:textFill>
            <w14:solidFill>
              <w14:schemeClr w14:val="tx1"/>
            </w14:solidFill>
          </w14:textFill>
        </w:rPr>
        <w:t>期竣工违约金的上限：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合同结算价格的10% </w:t>
      </w:r>
      <w:r>
        <w:rPr>
          <w:rFonts w:hint="eastAsia" w:ascii="宋体" w:hAnsi="宋体" w:eastAsia="宋体" w:cs="宋体"/>
          <w:color w:val="000000" w:themeColor="text1"/>
          <w:sz w:val="22"/>
          <w:szCs w:val="22"/>
          <w:highlight w:val="none"/>
          <w14:textFill>
            <w14:solidFill>
              <w14:schemeClr w14:val="tx1"/>
            </w14:solidFill>
          </w14:textFill>
        </w:rPr>
        <w:t>。</w:t>
      </w:r>
    </w:p>
    <w:bookmarkEnd w:id="173"/>
    <w:bookmarkEnd w:id="174"/>
    <w:p w14:paraId="769DD94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75" w:name="_Toc303539128"/>
      <w:bookmarkStart w:id="176" w:name="_Toc304295549"/>
      <w:bookmarkStart w:id="177" w:name="_Toc312678015"/>
      <w:bookmarkStart w:id="178" w:name="_Toc300934971"/>
      <w:bookmarkStart w:id="179" w:name="_Toc297216178"/>
      <w:bookmarkStart w:id="180" w:name="_Toc297123519"/>
      <w:r>
        <w:rPr>
          <w:rFonts w:hint="eastAsia" w:ascii="宋体" w:hAnsi="宋体" w:eastAsia="宋体" w:cs="宋体"/>
          <w:color w:val="000000" w:themeColor="text1"/>
          <w:sz w:val="22"/>
          <w:szCs w:val="22"/>
          <w:highlight w:val="none"/>
          <w14:textFill>
            <w14:solidFill>
              <w14:schemeClr w14:val="tx1"/>
            </w14:solidFill>
          </w14:textFill>
        </w:rPr>
        <w:t>.6 不</w:t>
      </w:r>
      <w:bookmarkEnd w:id="175"/>
      <w:bookmarkEnd w:id="176"/>
      <w:bookmarkEnd w:id="177"/>
      <w:bookmarkEnd w:id="178"/>
      <w:bookmarkEnd w:id="179"/>
      <w:bookmarkEnd w:id="180"/>
      <w:r>
        <w:rPr>
          <w:rFonts w:hint="eastAsia" w:ascii="宋体" w:hAnsi="宋体" w:eastAsia="宋体" w:cs="宋体"/>
          <w:color w:val="000000" w:themeColor="text1"/>
          <w:sz w:val="22"/>
          <w:szCs w:val="22"/>
          <w:highlight w:val="none"/>
          <w14:textFill>
            <w14:solidFill>
              <w14:schemeClr w14:val="tx1"/>
            </w14:solidFill>
          </w14:textFill>
        </w:rPr>
        <w:t>利物质条件</w:t>
      </w:r>
    </w:p>
    <w:p w14:paraId="58F5C9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181" w:name="_Toc303539129"/>
      <w:bookmarkStart w:id="182" w:name="_Toc304295550"/>
      <w:bookmarkStart w:id="183" w:name="_Toc300934972"/>
      <w:bookmarkStart w:id="184" w:name="_Toc297216179"/>
      <w:bookmarkStart w:id="185" w:name="_Toc318581172"/>
      <w:bookmarkStart w:id="186" w:name="_Toc312678016"/>
      <w:bookmarkStart w:id="187" w:name="_Toc297123520"/>
      <w:r>
        <w:rPr>
          <w:rFonts w:hint="eastAsia" w:ascii="宋体" w:hAnsi="宋体" w:eastAsia="宋体" w:cs="宋体"/>
          <w:color w:val="000000" w:themeColor="text1"/>
          <w:sz w:val="22"/>
          <w:szCs w:val="22"/>
          <w:highlight w:val="none"/>
          <w14:textFill>
            <w14:solidFill>
              <w14:schemeClr w14:val="tx1"/>
            </w14:solidFill>
          </w14:textFill>
        </w:rPr>
        <w:t>不利物质条件的其他情形和有关约定：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地质勘察报告未涉及的地下管道、岩石等障碍物，与不可抗力应有区别 </w:t>
      </w:r>
      <w:r>
        <w:rPr>
          <w:rFonts w:hint="eastAsia" w:ascii="宋体" w:hAnsi="宋体" w:eastAsia="宋体" w:cs="宋体"/>
          <w:color w:val="000000" w:themeColor="text1"/>
          <w:sz w:val="22"/>
          <w:szCs w:val="22"/>
          <w:highlight w:val="none"/>
          <w14:textFill>
            <w14:solidFill>
              <w14:schemeClr w14:val="tx1"/>
            </w14:solidFill>
          </w14:textFill>
        </w:rPr>
        <w:t>。</w:t>
      </w:r>
    </w:p>
    <w:bookmarkEnd w:id="181"/>
    <w:bookmarkEnd w:id="182"/>
    <w:bookmarkEnd w:id="183"/>
    <w:bookmarkEnd w:id="184"/>
    <w:bookmarkEnd w:id="185"/>
    <w:bookmarkEnd w:id="186"/>
    <w:bookmarkEnd w:id="187"/>
    <w:p w14:paraId="7C5CECE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88" w:name="_Toc304295551"/>
      <w:bookmarkStart w:id="189" w:name="_Toc297123521"/>
      <w:bookmarkStart w:id="190" w:name="_Toc300934973"/>
      <w:bookmarkStart w:id="191" w:name="_Toc297216180"/>
      <w:bookmarkStart w:id="192" w:name="_Toc303539130"/>
      <w:bookmarkStart w:id="193" w:name="_Toc312678017"/>
      <w:r>
        <w:rPr>
          <w:rFonts w:hint="eastAsia" w:ascii="宋体" w:hAnsi="宋体" w:eastAsia="宋体" w:cs="宋体"/>
          <w:color w:val="000000" w:themeColor="text1"/>
          <w:sz w:val="22"/>
          <w:szCs w:val="22"/>
          <w:highlight w:val="none"/>
          <w14:textFill>
            <w14:solidFill>
              <w14:schemeClr w14:val="tx1"/>
            </w14:solidFill>
          </w14:textFill>
        </w:rPr>
        <w:t>.7异常恶劣的气候条件</w:t>
      </w:r>
    </w:p>
    <w:bookmarkEnd w:id="188"/>
    <w:bookmarkEnd w:id="189"/>
    <w:bookmarkEnd w:id="190"/>
    <w:bookmarkEnd w:id="191"/>
    <w:bookmarkEnd w:id="192"/>
    <w:bookmarkEnd w:id="193"/>
    <w:p w14:paraId="348A0E1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发包人和承包人同意以下情形视为异常恶劣的气候条件：</w:t>
      </w:r>
    </w:p>
    <w:p w14:paraId="5A59AF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持续高温：连续三日日最高气温35℃以上 </w:t>
      </w:r>
      <w:r>
        <w:rPr>
          <w:rFonts w:hint="eastAsia" w:ascii="宋体" w:hAnsi="宋体" w:eastAsia="宋体" w:cs="宋体"/>
          <w:color w:val="000000" w:themeColor="text1"/>
          <w:sz w:val="22"/>
          <w:szCs w:val="22"/>
          <w:highlight w:val="none"/>
          <w14:textFill>
            <w14:solidFill>
              <w14:schemeClr w14:val="tx1"/>
            </w14:solidFill>
          </w14:textFill>
        </w:rPr>
        <w:t>；</w:t>
      </w:r>
    </w:p>
    <w:p w14:paraId="58DA87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持续低温：连续三日日最低气温-10℃以下 </w:t>
      </w:r>
      <w:r>
        <w:rPr>
          <w:rFonts w:hint="eastAsia" w:ascii="宋体" w:hAnsi="宋体" w:eastAsia="宋体" w:cs="宋体"/>
          <w:color w:val="000000" w:themeColor="text1"/>
          <w:sz w:val="22"/>
          <w:szCs w:val="22"/>
          <w:highlight w:val="none"/>
          <w14:textFill>
            <w14:solidFill>
              <w14:schemeClr w14:val="tx1"/>
            </w14:solidFill>
          </w14:textFill>
        </w:rPr>
        <w:t>；</w:t>
      </w:r>
    </w:p>
    <w:p w14:paraId="6F617CB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r>
        <w:rPr>
          <w:rFonts w:hint="eastAsia" w:ascii="宋体" w:hAnsi="宋体" w:eastAsia="宋体" w:cs="宋体"/>
          <w:color w:val="000000" w:themeColor="text1"/>
          <w:sz w:val="22"/>
          <w:szCs w:val="22"/>
          <w:highlight w:val="none"/>
          <w:u w:val="single"/>
          <w14:textFill>
            <w14:solidFill>
              <w14:schemeClr w14:val="tx1"/>
            </w14:solidFill>
          </w14:textFill>
        </w:rPr>
        <w:t>大风天气：施工区域日风力在6级以上且持续时间不少于4小时，或阵风大于8级</w:t>
      </w:r>
      <w:r>
        <w:rPr>
          <w:rFonts w:hint="eastAsia" w:ascii="宋体" w:hAnsi="宋体" w:eastAsia="宋体" w:cs="宋体"/>
          <w:color w:val="000000" w:themeColor="text1"/>
          <w:sz w:val="22"/>
          <w:szCs w:val="22"/>
          <w:highlight w:val="none"/>
          <w14:textFill>
            <w14:solidFill>
              <w14:schemeClr w14:val="tx1"/>
            </w14:solidFill>
          </w14:textFill>
        </w:rPr>
        <w:t>；</w:t>
      </w:r>
    </w:p>
    <w:p w14:paraId="4D7475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（4）暴雨天气：日降雨量50mm及以上，或降雨强度大于20mm/h。</w:t>
      </w:r>
    </w:p>
    <w:p w14:paraId="1973A5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 提前竣工的奖励</w:t>
      </w:r>
    </w:p>
    <w:p w14:paraId="17B9DE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7.9.2提前竣工的奖励：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     </w:t>
      </w:r>
      <w:r>
        <w:rPr>
          <w:rFonts w:hint="eastAsia" w:ascii="宋体" w:hAnsi="宋体" w:eastAsia="宋体" w:cs="宋体"/>
          <w:color w:val="000000" w:themeColor="text1"/>
          <w:sz w:val="22"/>
          <w:szCs w:val="22"/>
          <w:highlight w:val="none"/>
          <w14:textFill>
            <w14:solidFill>
              <w14:schemeClr w14:val="tx1"/>
            </w14:solidFill>
          </w14:textFill>
        </w:rPr>
        <w:t>。</w:t>
      </w:r>
    </w:p>
    <w:p w14:paraId="4C589BC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94" w:name="_Toc351203640"/>
      <w:r>
        <w:rPr>
          <w:rFonts w:hint="eastAsia" w:ascii="宋体" w:hAnsi="宋体" w:eastAsia="宋体" w:cs="宋体"/>
          <w:color w:val="000000" w:themeColor="text1"/>
          <w:sz w:val="22"/>
          <w:szCs w:val="22"/>
          <w:highlight w:val="none"/>
          <w14:textFill>
            <w14:solidFill>
              <w14:schemeClr w14:val="tx1"/>
            </w14:solidFill>
          </w14:textFill>
        </w:rPr>
        <w:t>8. 材料与设备</w:t>
      </w:r>
      <w:bookmarkEnd w:id="194"/>
    </w:p>
    <w:bookmarkEnd w:id="129"/>
    <w:bookmarkEnd w:id="130"/>
    <w:bookmarkEnd w:id="131"/>
    <w:bookmarkEnd w:id="132"/>
    <w:bookmarkEnd w:id="133"/>
    <w:bookmarkEnd w:id="134"/>
    <w:bookmarkEnd w:id="135"/>
    <w:bookmarkEnd w:id="136"/>
    <w:bookmarkEnd w:id="137"/>
    <w:bookmarkEnd w:id="138"/>
    <w:p w14:paraId="51A800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195" w:name="_Toc296347166"/>
      <w:bookmarkStart w:id="196" w:name="_Toc296503167"/>
      <w:bookmarkStart w:id="197" w:name="_Toc297123527"/>
      <w:bookmarkStart w:id="198" w:name="_Toc296944506"/>
      <w:bookmarkStart w:id="199" w:name="_Toc297048353"/>
      <w:bookmarkStart w:id="200" w:name="_Toc280868654"/>
      <w:bookmarkStart w:id="201" w:name="_Toc296891207"/>
      <w:bookmarkStart w:id="202" w:name="_Toc292559877"/>
      <w:bookmarkStart w:id="203" w:name="_Toc312677493"/>
      <w:bookmarkStart w:id="204" w:name="_Toc296890995"/>
      <w:bookmarkStart w:id="205" w:name="_Toc303539136"/>
      <w:bookmarkStart w:id="206" w:name="_Toc312678019"/>
      <w:bookmarkStart w:id="207" w:name="_Toc292559372"/>
      <w:bookmarkStart w:id="208" w:name="_Toc304295556"/>
      <w:bookmarkStart w:id="209" w:name="_Toc297216186"/>
      <w:bookmarkStart w:id="210" w:name="_Toc300934979"/>
      <w:bookmarkStart w:id="211" w:name="_Toc297120467"/>
      <w:bookmarkStart w:id="212" w:name="_Toc296346668"/>
      <w:bookmarkStart w:id="213" w:name="_Toc267251424"/>
      <w:bookmarkStart w:id="214" w:name="_Toc280868656"/>
      <w:bookmarkStart w:id="215" w:name="_Toc280868655"/>
      <w:r>
        <w:rPr>
          <w:rFonts w:hint="eastAsia" w:ascii="宋体" w:hAnsi="宋体" w:eastAsia="宋体" w:cs="宋体"/>
          <w:color w:val="000000" w:themeColor="text1"/>
          <w:sz w:val="22"/>
          <w:szCs w:val="22"/>
          <w:highlight w:val="none"/>
          <w14:textFill>
            <w14:solidFill>
              <w14:schemeClr w14:val="tx1"/>
            </w14:solidFill>
          </w14:textFill>
        </w:rPr>
        <w:t>.4材料与工程设备的保管与使用</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67396C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216" w:name="_Toc292559878"/>
      <w:bookmarkStart w:id="217" w:name="_Toc292559373"/>
      <w:bookmarkStart w:id="218" w:name="_Toc318581173"/>
      <w:bookmarkStart w:id="219" w:name="_Toc296890996"/>
      <w:bookmarkStart w:id="220" w:name="_Toc297123528"/>
      <w:bookmarkStart w:id="221" w:name="_Toc297216187"/>
      <w:bookmarkStart w:id="222" w:name="_Toc312677494"/>
      <w:bookmarkStart w:id="223" w:name="_Toc296346669"/>
      <w:bookmarkStart w:id="224" w:name="_Toc297048354"/>
      <w:bookmarkStart w:id="225" w:name="_Toc300934980"/>
      <w:bookmarkStart w:id="226" w:name="_Toc296503168"/>
      <w:bookmarkStart w:id="227" w:name="_Toc304295557"/>
      <w:bookmarkStart w:id="228" w:name="_Toc296944507"/>
      <w:bookmarkStart w:id="229" w:name="_Toc296347167"/>
      <w:bookmarkStart w:id="230" w:name="_Toc312678020"/>
      <w:bookmarkStart w:id="231" w:name="_Toc296891208"/>
      <w:bookmarkStart w:id="232" w:name="_Toc303539137"/>
      <w:bookmarkStart w:id="233" w:name="_Toc297120468"/>
      <w:r>
        <w:rPr>
          <w:rFonts w:hint="eastAsia" w:ascii="宋体" w:hAnsi="宋体" w:eastAsia="宋体" w:cs="宋体"/>
          <w:color w:val="000000" w:themeColor="text1"/>
          <w:sz w:val="22"/>
          <w:szCs w:val="22"/>
          <w:highlight w:val="none"/>
          <w14:textFill>
            <w14:solidFill>
              <w14:schemeClr w14:val="tx1"/>
            </w14:solidFill>
          </w14:textFill>
        </w:rPr>
        <w:t>.4.1发包人供应的材料设备的保管费用的承担：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由发包人承担，并按发包人供应材料设备价格的1%计取</w:t>
      </w:r>
      <w:r>
        <w:rPr>
          <w:rFonts w:hint="eastAsia" w:ascii="宋体" w:hAnsi="宋体" w:eastAsia="宋体" w:cs="宋体"/>
          <w:color w:val="000000" w:themeColor="text1"/>
          <w:sz w:val="22"/>
          <w:szCs w:val="22"/>
          <w:highlight w:val="none"/>
          <w14:textFill>
            <w14:solidFill>
              <w14:schemeClr w14:val="tx1"/>
            </w14:solidFill>
          </w14:textFill>
        </w:rPr>
        <w:t>。</w:t>
      </w:r>
      <w:bookmarkEnd w:id="216"/>
      <w:bookmarkEnd w:id="217"/>
    </w:p>
    <w:p w14:paraId="40E3EE54">
      <w:pPr>
        <w:pageBreakBefore w:val="0"/>
        <w:suppressAutoHyphen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除工程量清单中确定的《其他项目清单计价与汇总表》中的“暂估价”的材料外，其它材料均由承包人自行组织采购。凡由承包人采购的材料（有技术参数的，其技术参数不得低于招标文件及图纸、工程量清单的要求），承包人应按照设计要求、技术标准及招标文件的约定采购符合上述要求的材料。并向发包人提供质量保证书、出厂合格证及现场抽样检测报告等证明材料，对材料质量负责。如不符合质量及技术标准要求或规格有差异的，承包人应按发包人要求的时间将不符合要求的材料运出施工场地，重新采购符合要求的材料。若已使用，由承包人负责整改处理，确保达到要求的质量目标。因使用不符合要求的材料对工程造成的损失由承包人负责，由此延误的工期不予顺延，给发包人造成实际损失的还将承担经济赔偿责任。</w:t>
      </w:r>
    </w:p>
    <w:p w14:paraId="5C4E96A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 样品</w:t>
      </w:r>
    </w:p>
    <w:p w14:paraId="34B75D9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8.6.1</w:t>
      </w:r>
      <w:r>
        <w:rPr>
          <w:rFonts w:hint="eastAsia" w:ascii="宋体" w:hAnsi="宋体" w:eastAsia="宋体" w:cs="宋体"/>
          <w:color w:val="000000" w:themeColor="text1"/>
          <w:sz w:val="22"/>
          <w:szCs w:val="22"/>
          <w:highlight w:val="none"/>
          <w14:textFill>
            <w14:solidFill>
              <w14:schemeClr w14:val="tx1"/>
            </w14:solidFill>
          </w14:textFill>
        </w:rPr>
        <w:tab/>
      </w:r>
      <w:r>
        <w:rPr>
          <w:rFonts w:hint="eastAsia" w:ascii="宋体" w:hAnsi="宋体" w:eastAsia="宋体" w:cs="宋体"/>
          <w:color w:val="000000" w:themeColor="text1"/>
          <w:sz w:val="22"/>
          <w:szCs w:val="22"/>
          <w:highlight w:val="none"/>
          <w14:textFill>
            <w14:solidFill>
              <w14:schemeClr w14:val="tx1"/>
            </w14:solidFill>
          </w14:textFill>
        </w:rPr>
        <w:t>样品的报送与封存</w:t>
      </w:r>
    </w:p>
    <w:p w14:paraId="206FED4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需要承包人报送样品的材料或工程设备，样品的种类、名称、规格、数量要求：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按招标文件执行 </w:t>
      </w:r>
      <w:r>
        <w:rPr>
          <w:rFonts w:hint="eastAsia" w:ascii="宋体" w:hAnsi="宋体" w:eastAsia="宋体" w:cs="宋体"/>
          <w:color w:val="000000" w:themeColor="text1"/>
          <w:sz w:val="22"/>
          <w:szCs w:val="22"/>
          <w:highlight w:val="none"/>
          <w14:textFill>
            <w14:solidFill>
              <w14:schemeClr w14:val="tx1"/>
            </w14:solidFill>
          </w14:textFill>
        </w:rPr>
        <w:t>。</w:t>
      </w:r>
    </w:p>
    <w:p w14:paraId="4F6C4F44">
      <w:pPr>
        <w:pageBreakBefore w:val="0"/>
        <w:suppressAutoHyphens/>
        <w:kinsoku/>
        <w:wordWrap/>
        <w:overflowPunct/>
        <w:topLinePunct w:val="0"/>
        <w:bidi w:val="0"/>
        <w:snapToGrid/>
        <w:spacing w:line="400" w:lineRule="exact"/>
        <w:ind w:firstLine="440" w:firstLineChars="200"/>
        <w:textAlignment w:val="baseline"/>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8.6.1.1</w:t>
      </w:r>
      <w:r>
        <w:rPr>
          <w:rFonts w:hint="eastAsia" w:ascii="宋体" w:hAnsi="宋体" w:eastAsia="宋体" w:cs="宋体"/>
          <w:color w:val="000000" w:themeColor="text1"/>
          <w:sz w:val="22"/>
          <w:szCs w:val="22"/>
          <w:highlight w:val="none"/>
          <w:u w:val="single"/>
          <w14:textFill>
            <w14:solidFill>
              <w14:schemeClr w14:val="tx1"/>
            </w14:solidFill>
          </w14:textFill>
        </w:rPr>
        <w:t>承包人在材料使用前，须向监理报验，并见证抽样送检。未经确认的材料，不得用于工程，发包人抽查发现使用的材料无报验手续或不合格，可指令停工，要求返工。所发生的费用由承包人承担，工期不予顺延。</w:t>
      </w:r>
    </w:p>
    <w:p w14:paraId="589C5003">
      <w:pPr>
        <w:pageBreakBefore w:val="0"/>
        <w:suppressAutoHyphens/>
        <w:kinsoku/>
        <w:wordWrap/>
        <w:overflowPunct/>
        <w:topLinePunct w:val="0"/>
        <w:bidi w:val="0"/>
        <w:snapToGrid/>
        <w:spacing w:line="400" w:lineRule="exact"/>
        <w:ind w:firstLine="440" w:firstLineChars="200"/>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lang w:val="zh-CN"/>
          <w14:textFill>
            <w14:solidFill>
              <w14:schemeClr w14:val="tx1"/>
            </w14:solidFill>
          </w14:textFill>
        </w:rPr>
        <w:t xml:space="preserve">8.6.1.2 </w:t>
      </w:r>
      <w:r>
        <w:rPr>
          <w:rFonts w:hint="eastAsia" w:ascii="宋体" w:hAnsi="宋体" w:eastAsia="宋体" w:cs="宋体"/>
          <w:bCs/>
          <w:color w:val="000000" w:themeColor="text1"/>
          <w:sz w:val="22"/>
          <w:szCs w:val="22"/>
          <w:highlight w:val="none"/>
          <w:u w:val="single"/>
          <w:lang w:val="zh-CN"/>
          <w14:textFill>
            <w14:solidFill>
              <w14:schemeClr w14:val="tx1"/>
            </w14:solidFill>
          </w14:textFill>
        </w:rPr>
        <w:t>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p>
    <w:p w14:paraId="7845AE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 施工设备和临时设施</w:t>
      </w:r>
    </w:p>
    <w:p w14:paraId="2F4EE15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8.8.1 承包人提供的施工设备和临时设施</w:t>
      </w:r>
    </w:p>
    <w:p w14:paraId="7A26F59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关于修建临时设施费用承担的约定：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费用由承包人承担 ，已包含在合同价款中 </w:t>
      </w:r>
      <w:r>
        <w:rPr>
          <w:rFonts w:hint="eastAsia" w:ascii="宋体" w:hAnsi="宋体" w:eastAsia="宋体" w:cs="宋体"/>
          <w:color w:val="000000" w:themeColor="text1"/>
          <w:sz w:val="22"/>
          <w:szCs w:val="22"/>
          <w:highlight w:val="none"/>
          <w14:textFill>
            <w14:solidFill>
              <w14:schemeClr w14:val="tx1"/>
            </w14:solidFill>
          </w14:textFill>
        </w:rPr>
        <w:t>。</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7411D8E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34" w:name="_Toc351203641"/>
      <w:r>
        <w:rPr>
          <w:rFonts w:hint="eastAsia" w:ascii="宋体" w:hAnsi="宋体" w:eastAsia="宋体" w:cs="宋体"/>
          <w:color w:val="000000" w:themeColor="text1"/>
          <w:sz w:val="22"/>
          <w:szCs w:val="22"/>
          <w:highlight w:val="none"/>
          <w14:textFill>
            <w14:solidFill>
              <w14:schemeClr w14:val="tx1"/>
            </w14:solidFill>
          </w14:textFill>
        </w:rPr>
        <w:t>9</w:t>
      </w:r>
      <w:bookmarkEnd w:id="213"/>
      <w:bookmarkEnd w:id="214"/>
      <w:bookmarkEnd w:id="215"/>
      <w:bookmarkStart w:id="235" w:name="_Toc312677495"/>
      <w:bookmarkStart w:id="236" w:name="_Toc303539139"/>
      <w:bookmarkStart w:id="237" w:name="_Toc297216192"/>
      <w:bookmarkStart w:id="238" w:name="_Toc304295559"/>
      <w:bookmarkStart w:id="239" w:name="_Toc297123533"/>
      <w:bookmarkStart w:id="240" w:name="_Toc312678021"/>
      <w:bookmarkStart w:id="241" w:name="_Toc300934982"/>
      <w:bookmarkStart w:id="242" w:name="_Toc292559378"/>
      <w:bookmarkStart w:id="243" w:name="_Toc296891213"/>
      <w:bookmarkStart w:id="244" w:name="_Toc297120473"/>
      <w:bookmarkStart w:id="245" w:name="_Toc267251428"/>
      <w:bookmarkStart w:id="246" w:name="_Toc296944512"/>
      <w:bookmarkStart w:id="247" w:name="_Toc296891001"/>
      <w:bookmarkStart w:id="248" w:name="_Toc267251427"/>
      <w:bookmarkStart w:id="249" w:name="_Toc296346674"/>
      <w:bookmarkStart w:id="250" w:name="_Toc292559883"/>
      <w:bookmarkStart w:id="251" w:name="_Toc297048359"/>
      <w:bookmarkStart w:id="252" w:name="_Toc296503173"/>
      <w:bookmarkStart w:id="253" w:name="_Toc296347172"/>
      <w:r>
        <w:rPr>
          <w:rFonts w:hint="eastAsia" w:ascii="宋体" w:hAnsi="宋体" w:eastAsia="宋体" w:cs="宋体"/>
          <w:color w:val="000000" w:themeColor="text1"/>
          <w:sz w:val="22"/>
          <w:szCs w:val="22"/>
          <w:highlight w:val="none"/>
          <w14:textFill>
            <w14:solidFill>
              <w14:schemeClr w14:val="tx1"/>
            </w14:solidFill>
          </w14:textFill>
        </w:rPr>
        <w:t>. 试验与检验</w:t>
      </w:r>
      <w:bookmarkEnd w:id="234"/>
    </w:p>
    <w:bookmarkEnd w:id="235"/>
    <w:bookmarkEnd w:id="236"/>
    <w:bookmarkEnd w:id="237"/>
    <w:bookmarkEnd w:id="238"/>
    <w:bookmarkEnd w:id="239"/>
    <w:bookmarkEnd w:id="240"/>
    <w:bookmarkEnd w:id="241"/>
    <w:p w14:paraId="2AA27EA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54" w:name="_Toc297216193"/>
      <w:bookmarkStart w:id="255" w:name="_Toc304295560"/>
      <w:bookmarkStart w:id="256" w:name="_Toc300934983"/>
      <w:bookmarkStart w:id="257" w:name="_Toc303539140"/>
      <w:bookmarkStart w:id="258" w:name="_Toc312677496"/>
      <w:bookmarkStart w:id="259" w:name="_Toc312678022"/>
      <w:bookmarkStart w:id="260" w:name="_Toc297123534"/>
      <w:r>
        <w:rPr>
          <w:rFonts w:hint="eastAsia" w:ascii="宋体" w:hAnsi="宋体" w:eastAsia="宋体" w:cs="宋体"/>
          <w:color w:val="000000" w:themeColor="text1"/>
          <w:sz w:val="22"/>
          <w:szCs w:val="22"/>
          <w:highlight w:val="none"/>
          <w14:textFill>
            <w14:solidFill>
              <w14:schemeClr w14:val="tx1"/>
            </w14:solidFill>
          </w14:textFill>
        </w:rPr>
        <w:t>.1试验设备与试验人员</w:t>
      </w:r>
    </w:p>
    <w:bookmarkEnd w:id="254"/>
    <w:bookmarkEnd w:id="255"/>
    <w:bookmarkEnd w:id="256"/>
    <w:bookmarkEnd w:id="257"/>
    <w:bookmarkEnd w:id="258"/>
    <w:bookmarkEnd w:id="259"/>
    <w:bookmarkEnd w:id="260"/>
    <w:p w14:paraId="4DD2D4E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61" w:name="_Toc304295561"/>
      <w:bookmarkStart w:id="262" w:name="_Toc303539141"/>
      <w:bookmarkStart w:id="263" w:name="_Toc300934984"/>
      <w:bookmarkStart w:id="264" w:name="_Toc297123535"/>
      <w:bookmarkStart w:id="265" w:name="_Toc312678023"/>
      <w:bookmarkStart w:id="266" w:name="_Toc297216194"/>
      <w:bookmarkStart w:id="267" w:name="_Toc312677497"/>
      <w:bookmarkStart w:id="268" w:name="_Toc318581174"/>
      <w:r>
        <w:rPr>
          <w:rFonts w:hint="eastAsia" w:ascii="宋体" w:hAnsi="宋体" w:eastAsia="宋体" w:cs="宋体"/>
          <w:color w:val="000000" w:themeColor="text1"/>
          <w:sz w:val="22"/>
          <w:szCs w:val="22"/>
          <w:highlight w:val="none"/>
          <w14:textFill>
            <w14:solidFill>
              <w14:schemeClr w14:val="tx1"/>
            </w14:solidFill>
          </w14:textFill>
        </w:rPr>
        <w:t>.1.2 试验设备</w:t>
      </w:r>
    </w:p>
    <w:p w14:paraId="199457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施工现场需要配置的试验场所：</w:t>
      </w:r>
      <w:bookmarkEnd w:id="261"/>
      <w:bookmarkEnd w:id="262"/>
      <w:bookmarkEnd w:id="263"/>
      <w:bookmarkEnd w:id="264"/>
      <w:bookmarkEnd w:id="265"/>
      <w:bookmarkEnd w:id="266"/>
      <w:bookmarkEnd w:id="267"/>
      <w:bookmarkStart w:id="269" w:name="_Toc303539142"/>
      <w:bookmarkStart w:id="270" w:name="_Toc297123536"/>
      <w:bookmarkStart w:id="271" w:name="_Toc300934985"/>
      <w:bookmarkStart w:id="272" w:name="_Toc304295562"/>
      <w:bookmarkStart w:id="273" w:name="_Toc312678024"/>
      <w:bookmarkStart w:id="274" w:name="_Toc312677498"/>
      <w:bookmarkStart w:id="275" w:name="_Toc297216195"/>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FC4A0A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施工现场需要配备的试验设备：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57EFCC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施工现场需要具备的其他试验条件：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059BA0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9.4 现场工艺试验</w:t>
      </w:r>
    </w:p>
    <w:p w14:paraId="56804C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现场工艺试验的有关约定：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执行通用条款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268"/>
    <w:bookmarkEnd w:id="269"/>
    <w:bookmarkEnd w:id="270"/>
    <w:bookmarkEnd w:id="271"/>
    <w:bookmarkEnd w:id="272"/>
    <w:bookmarkEnd w:id="273"/>
    <w:bookmarkEnd w:id="274"/>
    <w:bookmarkEnd w:id="275"/>
    <w:p w14:paraId="070966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76" w:name="_Toc351203642"/>
      <w:r>
        <w:rPr>
          <w:rFonts w:hint="eastAsia" w:ascii="宋体" w:hAnsi="宋体" w:eastAsia="宋体" w:cs="宋体"/>
          <w:color w:val="000000" w:themeColor="text1"/>
          <w:sz w:val="22"/>
          <w:szCs w:val="22"/>
          <w:highlight w:val="none"/>
          <w14:textFill>
            <w14:solidFill>
              <w14:schemeClr w14:val="tx1"/>
            </w14:solidFill>
          </w14:textFill>
        </w:rPr>
        <w:t>1</w:t>
      </w:r>
      <w:bookmarkEnd w:id="242"/>
      <w:bookmarkEnd w:id="243"/>
      <w:bookmarkEnd w:id="244"/>
      <w:bookmarkEnd w:id="245"/>
      <w:bookmarkEnd w:id="246"/>
      <w:bookmarkEnd w:id="247"/>
      <w:bookmarkEnd w:id="248"/>
      <w:bookmarkEnd w:id="249"/>
      <w:bookmarkEnd w:id="250"/>
      <w:bookmarkEnd w:id="251"/>
      <w:bookmarkEnd w:id="252"/>
      <w:bookmarkEnd w:id="253"/>
      <w:bookmarkStart w:id="277" w:name="_Toc296944532"/>
      <w:bookmarkStart w:id="278" w:name="_Toc292559903"/>
      <w:bookmarkStart w:id="279" w:name="_Toc297123540"/>
      <w:bookmarkStart w:id="280" w:name="_Toc296503193"/>
      <w:bookmarkStart w:id="281" w:name="_Toc296347192"/>
      <w:bookmarkStart w:id="282" w:name="_Toc296891021"/>
      <w:bookmarkStart w:id="283" w:name="_Toc296346694"/>
      <w:bookmarkStart w:id="284" w:name="_Toc296891233"/>
      <w:bookmarkStart w:id="285" w:name="_Toc297216199"/>
      <w:bookmarkStart w:id="286" w:name="_Toc297048379"/>
      <w:bookmarkStart w:id="287" w:name="_Toc300934989"/>
      <w:bookmarkStart w:id="288" w:name="_Toc297120493"/>
      <w:bookmarkStart w:id="289" w:name="_Toc303539146"/>
      <w:bookmarkStart w:id="290" w:name="_Toc292559398"/>
      <w:bookmarkStart w:id="291" w:name="_Toc304295566"/>
      <w:bookmarkStart w:id="292" w:name="_Toc312677499"/>
      <w:bookmarkStart w:id="293" w:name="_Toc312678025"/>
      <w:bookmarkStart w:id="294" w:name="_Toc267251440"/>
      <w:bookmarkStart w:id="295" w:name="_Toc267251439"/>
      <w:bookmarkStart w:id="296" w:name="_Toc267251435"/>
      <w:bookmarkStart w:id="297" w:name="_Toc267251441"/>
      <w:bookmarkStart w:id="298" w:name="_Toc267251437"/>
      <w:bookmarkStart w:id="299" w:name="_Toc267251433"/>
      <w:bookmarkStart w:id="300" w:name="_Toc267251442"/>
      <w:r>
        <w:rPr>
          <w:rFonts w:hint="eastAsia" w:ascii="宋体" w:hAnsi="宋体" w:eastAsia="宋体" w:cs="宋体"/>
          <w:color w:val="000000" w:themeColor="text1"/>
          <w:sz w:val="22"/>
          <w:szCs w:val="22"/>
          <w:highlight w:val="none"/>
          <w14:textFill>
            <w14:solidFill>
              <w14:schemeClr w14:val="tx1"/>
            </w14:solidFill>
          </w14:textFill>
        </w:rPr>
        <w:t>0. 变更</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63D0217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01" w:name="_Toc296891234"/>
      <w:bookmarkStart w:id="302" w:name="_Toc297216200"/>
      <w:bookmarkStart w:id="303" w:name="_Toc303539147"/>
      <w:bookmarkStart w:id="304" w:name="_Toc297120494"/>
      <w:bookmarkStart w:id="305" w:name="_Toc292559904"/>
      <w:bookmarkStart w:id="306" w:name="_Toc312677500"/>
      <w:bookmarkStart w:id="307" w:name="_Toc296346695"/>
      <w:bookmarkStart w:id="308" w:name="_Toc297123541"/>
      <w:bookmarkStart w:id="309" w:name="_Toc296503194"/>
      <w:bookmarkStart w:id="310" w:name="_Toc312678026"/>
      <w:bookmarkStart w:id="311" w:name="_Toc304295567"/>
      <w:bookmarkStart w:id="312" w:name="_Toc296944533"/>
      <w:bookmarkStart w:id="313" w:name="_Toc296347193"/>
      <w:bookmarkStart w:id="314" w:name="_Toc300934990"/>
      <w:bookmarkStart w:id="315" w:name="_Toc292559399"/>
      <w:bookmarkStart w:id="316" w:name="_Toc297048380"/>
      <w:bookmarkStart w:id="317" w:name="_Toc296891022"/>
      <w:r>
        <w:rPr>
          <w:rFonts w:hint="eastAsia" w:ascii="宋体" w:hAnsi="宋体" w:eastAsia="宋体" w:cs="宋体"/>
          <w:color w:val="000000" w:themeColor="text1"/>
          <w:sz w:val="22"/>
          <w:szCs w:val="22"/>
          <w:highlight w:val="none"/>
          <w14:textFill>
            <w14:solidFill>
              <w14:schemeClr w14:val="tx1"/>
            </w14:solidFill>
          </w14:textFill>
        </w:rPr>
        <w:t>0.1变更的范围</w:t>
      </w:r>
    </w:p>
    <w:p w14:paraId="7B0CD3B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关于变更的范围的约定：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分部分项工程量清单漏项或非承包人原因的工程变更（含设计变更） </w:t>
      </w:r>
      <w:r>
        <w:rPr>
          <w:rFonts w:hint="eastAsia" w:ascii="宋体" w:hAnsi="宋体" w:eastAsia="宋体" w:cs="宋体"/>
          <w:color w:val="000000" w:themeColor="text1"/>
          <w:sz w:val="22"/>
          <w:szCs w:val="22"/>
          <w:highlight w:val="none"/>
          <w14:textFill>
            <w14:solidFill>
              <w14:schemeClr w14:val="tx1"/>
            </w14:solidFill>
          </w14:textFill>
        </w:rPr>
        <w:t>。</w:t>
      </w:r>
    </w:p>
    <w:p w14:paraId="774EC69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 变更估价</w:t>
      </w:r>
    </w:p>
    <w:p w14:paraId="494C4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10.4.1 变更估价原则</w:t>
      </w:r>
    </w:p>
    <w:p w14:paraId="7621DA6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关于变更估价的约定: </w:t>
      </w:r>
    </w:p>
    <w:p w14:paraId="5140471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1、承包人必须无条件服从发包人对工程的设计变更，不得以因发包人设计变更减少了工程利润为由要挟发包人追加其它费用。设计变更按发包人书面签证确认为准。</w:t>
      </w:r>
    </w:p>
    <w:p w14:paraId="2D6F8DD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合同中已有适用的综合单价，按合同中已有的综合单价确定；合同中有类似的综合单价，参照类似的综合单价确定；合同中没有适用或类似的综合单价，其相应综合单价由承包人依据招标文件约定的招标预算价计价方式及标准提出，经发包人确认后作为结算依据（该综合单价的下浮率按照中标时的下浮率执行）。</w:t>
      </w:r>
    </w:p>
    <w:p w14:paraId="2DA09C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2559402"/>
      <w:bookmarkStart w:id="319" w:name="_Toc303539150"/>
      <w:bookmarkStart w:id="320" w:name="_Toc296503197"/>
      <w:bookmarkStart w:id="321" w:name="_Toc296944536"/>
      <w:bookmarkStart w:id="322" w:name="_Toc300934993"/>
      <w:bookmarkStart w:id="323" w:name="_Toc292559907"/>
      <w:bookmarkStart w:id="324" w:name="_Toc297120497"/>
      <w:bookmarkStart w:id="325" w:name="_Toc296891025"/>
      <w:bookmarkStart w:id="326" w:name="_Toc297216203"/>
      <w:bookmarkStart w:id="327" w:name="_Toc297048383"/>
      <w:bookmarkStart w:id="328" w:name="_Toc296891237"/>
      <w:bookmarkStart w:id="329" w:name="_Toc297123544"/>
      <w:bookmarkStart w:id="330" w:name="_Toc296347196"/>
      <w:bookmarkStart w:id="331" w:name="_Toc296346698"/>
      <w:bookmarkStart w:id="332" w:name="_Toc312677503"/>
      <w:bookmarkStart w:id="333" w:name="_Toc304295570"/>
      <w:bookmarkStart w:id="334" w:name="_Toc312678029"/>
      <w:r>
        <w:rPr>
          <w:rFonts w:hint="eastAsia" w:ascii="宋体" w:hAnsi="宋体" w:eastAsia="宋体" w:cs="宋体"/>
          <w:color w:val="000000" w:themeColor="text1"/>
          <w:sz w:val="22"/>
          <w:szCs w:val="22"/>
          <w:highlight w:val="none"/>
          <w14:textFill>
            <w14:solidFill>
              <w14:schemeClr w14:val="tx1"/>
            </w14:solidFill>
          </w14:textFill>
        </w:rPr>
        <w:t>0.5承</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300934994"/>
      <w:bookmarkStart w:id="336" w:name="_Toc292559408"/>
      <w:bookmarkStart w:id="337" w:name="_Toc296944542"/>
      <w:bookmarkStart w:id="338" w:name="_Toc296891243"/>
      <w:bookmarkStart w:id="339" w:name="_Toc296347202"/>
      <w:bookmarkStart w:id="340" w:name="_Toc296891031"/>
      <w:bookmarkStart w:id="341" w:name="_Toc303539151"/>
      <w:bookmarkStart w:id="342" w:name="_Toc297123545"/>
      <w:bookmarkStart w:id="343" w:name="_Toc297216204"/>
      <w:bookmarkStart w:id="344" w:name="_Toc296346704"/>
      <w:bookmarkStart w:id="345" w:name="_Toc292559913"/>
      <w:bookmarkStart w:id="346" w:name="_Toc296503203"/>
      <w:bookmarkStart w:id="347" w:name="_Toc297048389"/>
      <w:bookmarkStart w:id="348" w:name="_Toc297120503"/>
      <w:r>
        <w:rPr>
          <w:rFonts w:hint="eastAsia" w:ascii="宋体" w:hAnsi="宋体" w:eastAsia="宋体" w:cs="宋体"/>
          <w:color w:val="000000" w:themeColor="text1"/>
          <w:sz w:val="22"/>
          <w:szCs w:val="22"/>
          <w:highlight w:val="none"/>
          <w14:textFill>
            <w14:solidFill>
              <w14:schemeClr w14:val="tx1"/>
            </w14:solidFill>
          </w14:textFill>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21C7D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监理人审查承包人合理化建议的期限：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4AA90C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50AE284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w:t>
      </w:r>
      <w:bookmarkStart w:id="349" w:name="_Toc312678030"/>
      <w:bookmarkStart w:id="350" w:name="_Toc296944543"/>
      <w:bookmarkStart w:id="351" w:name="_Toc318581175"/>
      <w:bookmarkStart w:id="352" w:name="_Toc297120504"/>
      <w:bookmarkStart w:id="353" w:name="_Toc312677504"/>
      <w:bookmarkStart w:id="354" w:name="_Toc297216205"/>
      <w:bookmarkStart w:id="355" w:name="_Toc292559914"/>
      <w:bookmarkStart w:id="356" w:name="_Toc303539152"/>
      <w:bookmarkStart w:id="357" w:name="_Toc304295571"/>
      <w:bookmarkStart w:id="358" w:name="_Toc300934995"/>
      <w:bookmarkStart w:id="359" w:name="_Toc296503204"/>
      <w:bookmarkStart w:id="360" w:name="_Toc296891032"/>
      <w:bookmarkStart w:id="361" w:name="_Toc296891244"/>
      <w:bookmarkStart w:id="362" w:name="_Toc296347203"/>
      <w:bookmarkStart w:id="363" w:name="_Toc297048390"/>
      <w:bookmarkStart w:id="364" w:name="_Toc297123546"/>
      <w:bookmarkStart w:id="365" w:name="_Toc292559409"/>
      <w:bookmarkStart w:id="366" w:name="_Toc296346705"/>
      <w:r>
        <w:rPr>
          <w:rFonts w:hint="eastAsia" w:ascii="宋体" w:hAnsi="宋体" w:eastAsia="宋体" w:cs="宋体"/>
          <w:color w:val="000000" w:themeColor="text1"/>
          <w:sz w:val="22"/>
          <w:szCs w:val="22"/>
          <w:highlight w:val="none"/>
          <w14:textFill>
            <w14:solidFill>
              <w14:schemeClr w14:val="tx1"/>
            </w14:solidFill>
          </w14:textFill>
        </w:rPr>
        <w:t>包人提出的合理化建议降低了合同价格或者提高了工程经济效益的奖励的方法和金额为：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（由双方商定）。</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185890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67" w:name="_Toc300934997"/>
      <w:bookmarkStart w:id="368" w:name="_Toc296503199"/>
      <w:bookmarkStart w:id="369" w:name="_Toc296891027"/>
      <w:bookmarkStart w:id="370" w:name="_Toc296346700"/>
      <w:bookmarkStart w:id="371" w:name="_Toc304295574"/>
      <w:bookmarkStart w:id="372" w:name="_Toc303539154"/>
      <w:bookmarkStart w:id="373" w:name="_Toc297123548"/>
      <w:bookmarkStart w:id="374" w:name="_Toc296347198"/>
      <w:bookmarkStart w:id="375" w:name="_Toc312677507"/>
      <w:bookmarkStart w:id="376" w:name="_Toc296891239"/>
      <w:bookmarkStart w:id="377" w:name="_Toc292559404"/>
      <w:bookmarkStart w:id="378" w:name="_Toc296944538"/>
      <w:bookmarkStart w:id="379" w:name="_Toc292559909"/>
      <w:bookmarkStart w:id="380" w:name="_Toc297216207"/>
      <w:bookmarkStart w:id="381" w:name="_Toc297120499"/>
      <w:bookmarkStart w:id="382" w:name="_Toc312678033"/>
      <w:bookmarkStart w:id="383" w:name="_Toc297048385"/>
      <w:r>
        <w:rPr>
          <w:rFonts w:hint="eastAsia" w:ascii="宋体" w:hAnsi="宋体" w:eastAsia="宋体" w:cs="宋体"/>
          <w:color w:val="000000" w:themeColor="text1"/>
          <w:sz w:val="22"/>
          <w:szCs w:val="22"/>
          <w:highlight w:val="none"/>
          <w14:textFill>
            <w14:solidFill>
              <w14:schemeClr w14:val="tx1"/>
            </w14:solidFill>
          </w14:textFill>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5FB943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暂</w:t>
      </w:r>
      <w:bookmarkStart w:id="384" w:name="_Toc312677508"/>
      <w:bookmarkStart w:id="385" w:name="_Toc318581176"/>
      <w:bookmarkStart w:id="386" w:name="_Toc312678034"/>
      <w:r>
        <w:rPr>
          <w:rFonts w:hint="eastAsia" w:ascii="宋体" w:hAnsi="宋体" w:eastAsia="宋体" w:cs="宋体"/>
          <w:color w:val="000000" w:themeColor="text1"/>
          <w:sz w:val="22"/>
          <w:szCs w:val="22"/>
          <w:highlight w:val="none"/>
          <w14:textFill>
            <w14:solidFill>
              <w14:schemeClr w14:val="tx1"/>
            </w14:solidFill>
          </w14:textFill>
        </w:rPr>
        <w:t>估价材料和工程设备的明细详见附件11：《暂估价一览表》。</w:t>
      </w:r>
    </w:p>
    <w:bookmarkEnd w:id="384"/>
    <w:bookmarkEnd w:id="385"/>
    <w:bookmarkEnd w:id="386"/>
    <w:p w14:paraId="1DA55B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87" w:name="_Toc312677509"/>
      <w:bookmarkStart w:id="388" w:name="_Toc312678035"/>
      <w:bookmarkStart w:id="389" w:name="_Toc318581177"/>
      <w:r>
        <w:rPr>
          <w:rFonts w:hint="eastAsia" w:ascii="宋体" w:hAnsi="宋体" w:eastAsia="宋体" w:cs="宋体"/>
          <w:color w:val="000000" w:themeColor="text1"/>
          <w:sz w:val="22"/>
          <w:szCs w:val="22"/>
          <w:highlight w:val="none"/>
          <w14:textFill>
            <w14:solidFill>
              <w14:schemeClr w14:val="tx1"/>
            </w14:solidFill>
          </w14:textFill>
        </w:rPr>
        <w:t>0.7.1 依法必须招标的暂估价项目</w:t>
      </w:r>
    </w:p>
    <w:bookmarkEnd w:id="387"/>
    <w:bookmarkEnd w:id="388"/>
    <w:bookmarkEnd w:id="389"/>
    <w:p w14:paraId="47B654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2920A0A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10.7.2 不属于依法必须招标的暂估价项目</w:t>
      </w:r>
    </w:p>
    <w:p w14:paraId="090AB3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对于不属于依法必须招标的暂估价项目的确认和批准采取第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674BFF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第3种方式：承包人直接实施的暂估价项目</w:t>
      </w:r>
    </w:p>
    <w:p w14:paraId="2C5469E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承包人直接实施的暂估价项目的约定：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与本工程合同条件一致 </w:t>
      </w:r>
      <w:r>
        <w:rPr>
          <w:rFonts w:hint="eastAsia" w:ascii="宋体" w:hAnsi="宋体" w:eastAsia="宋体" w:cs="宋体"/>
          <w:color w:val="000000" w:themeColor="text1"/>
          <w:sz w:val="22"/>
          <w:szCs w:val="22"/>
          <w:highlight w:val="none"/>
          <w14:textFill>
            <w14:solidFill>
              <w14:schemeClr w14:val="tx1"/>
            </w14:solidFill>
          </w14:textFill>
        </w:rPr>
        <w:t>。</w:t>
      </w:r>
    </w:p>
    <w:p w14:paraId="066B75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10.8 暂列金额</w:t>
      </w:r>
    </w:p>
    <w:p w14:paraId="64D52327">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合同当事人关于暂列金额使用的约定：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用于施工合同签订时尚未确定或者不可预见的所需材料、工程设备、服务的采购，施工中可能发生的工程变更</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合同约定调整因素出现时的工程价款调整以及发生的索赔、现场签证确认等的费用  </w:t>
      </w:r>
      <w:r>
        <w:rPr>
          <w:rFonts w:hint="eastAsia" w:ascii="宋体" w:hAnsi="宋体" w:eastAsia="宋体" w:cs="宋体"/>
          <w:color w:val="000000" w:themeColor="text1"/>
          <w:sz w:val="22"/>
          <w:szCs w:val="22"/>
          <w:highlight w:val="none"/>
          <w14:textFill>
            <w14:solidFill>
              <w14:schemeClr w14:val="tx1"/>
            </w14:solidFill>
          </w14:textFill>
        </w:rPr>
        <w:t>。</w:t>
      </w:r>
    </w:p>
    <w:p w14:paraId="2771D1B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0" w:name="_Toc351203643"/>
      <w:r>
        <w:rPr>
          <w:rFonts w:hint="eastAsia" w:ascii="宋体" w:hAnsi="宋体" w:eastAsia="宋体" w:cs="宋体"/>
          <w:color w:val="000000" w:themeColor="text1"/>
          <w:sz w:val="22"/>
          <w:szCs w:val="22"/>
          <w:highlight w:val="none"/>
          <w14:textFill>
            <w14:solidFill>
              <w14:schemeClr w14:val="tx1"/>
            </w14:solidFill>
          </w14:textFill>
        </w:rPr>
        <w:t>11. 价格调整</w:t>
      </w:r>
      <w:bookmarkEnd w:id="390"/>
    </w:p>
    <w:p w14:paraId="08FCE50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1" w:name="_Toc312678039"/>
      <w:bookmarkStart w:id="392" w:name="_Toc296891241"/>
      <w:bookmarkStart w:id="393" w:name="_Toc296944540"/>
      <w:bookmarkStart w:id="394" w:name="_Toc292559406"/>
      <w:bookmarkStart w:id="395" w:name="_Toc297048387"/>
      <w:bookmarkStart w:id="396" w:name="_Toc296503201"/>
      <w:bookmarkStart w:id="397" w:name="_Toc292559911"/>
      <w:bookmarkStart w:id="398" w:name="_Toc297216209"/>
      <w:bookmarkStart w:id="399" w:name="_Toc297123550"/>
      <w:bookmarkStart w:id="400" w:name="_Toc300935000"/>
      <w:bookmarkStart w:id="401" w:name="_Toc296347200"/>
      <w:bookmarkStart w:id="402" w:name="_Toc303539157"/>
      <w:bookmarkStart w:id="403" w:name="_Toc304295577"/>
      <w:bookmarkStart w:id="404" w:name="_Toc296346702"/>
      <w:bookmarkStart w:id="405" w:name="_Toc296891029"/>
      <w:bookmarkStart w:id="406" w:name="_Toc297120501"/>
      <w:r>
        <w:rPr>
          <w:rFonts w:hint="eastAsia" w:ascii="宋体" w:hAnsi="宋体" w:eastAsia="宋体" w:cs="宋体"/>
          <w:color w:val="000000" w:themeColor="text1"/>
          <w:sz w:val="22"/>
          <w:szCs w:val="22"/>
          <w:highlight w:val="none"/>
          <w14:textFill>
            <w14:solidFill>
              <w14:schemeClr w14:val="tx1"/>
            </w14:solidFill>
          </w14:textFill>
        </w:rPr>
        <w:t>11.1 市场价格波动引起的调整</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30B47F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市场价格波动是否调整合同价格的约定：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不调整 </w:t>
      </w:r>
      <w:r>
        <w:rPr>
          <w:rFonts w:hint="eastAsia" w:ascii="宋体" w:hAnsi="宋体" w:eastAsia="宋体" w:cs="宋体"/>
          <w:color w:val="000000" w:themeColor="text1"/>
          <w:sz w:val="22"/>
          <w:szCs w:val="22"/>
          <w:highlight w:val="none"/>
          <w14:textFill>
            <w14:solidFill>
              <w14:schemeClr w14:val="tx1"/>
            </w14:solidFill>
          </w14:textFill>
        </w:rPr>
        <w:t>。</w:t>
      </w:r>
    </w:p>
    <w:p w14:paraId="427D17E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因市场价格波动调整合同价格，采用以下第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种方式对合同价格进行调整：</w:t>
      </w:r>
    </w:p>
    <w:p w14:paraId="03C868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第1种方式：采用价格指数进行价格调整。</w:t>
      </w:r>
    </w:p>
    <w:p w14:paraId="2D77AA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关于各可调因子、定值和变值权重，以及基本价格指数及其来源的约定：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A9A78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第2种方式：采用造价信息进行价格调整。</w:t>
      </w:r>
    </w:p>
    <w:p w14:paraId="17B4407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（2）关于基准价格的约定：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6D9DC6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%时，或材料单价跌幅以已标价工程量清单或预算书中载明材料单价为基础超过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BF9A24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%时，材料单价涨幅以已标价工程量清单或预算书中载明材料单价为基础超过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41CE276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319D8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第3种方式：其他价格调整方式：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294"/>
    <w:bookmarkEnd w:id="295"/>
    <w:bookmarkEnd w:id="296"/>
    <w:bookmarkEnd w:id="297"/>
    <w:bookmarkEnd w:id="298"/>
    <w:bookmarkEnd w:id="299"/>
    <w:p w14:paraId="3D9585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07" w:name="_Toc296346706"/>
      <w:bookmarkStart w:id="408" w:name="_Toc292559915"/>
      <w:bookmarkStart w:id="409" w:name="_Toc296503205"/>
      <w:bookmarkStart w:id="410" w:name="_Toc296347204"/>
      <w:bookmarkStart w:id="411" w:name="_Toc297120505"/>
      <w:bookmarkStart w:id="412" w:name="_Toc292559410"/>
      <w:bookmarkStart w:id="413" w:name="_Toc297048391"/>
      <w:bookmarkStart w:id="414" w:name="_Toc296891033"/>
      <w:bookmarkStart w:id="415" w:name="_Toc296891245"/>
      <w:bookmarkStart w:id="416" w:name="_Toc296944544"/>
      <w:bookmarkStart w:id="417" w:name="_Toc351203644"/>
      <w:bookmarkStart w:id="418" w:name="_Toc300935002"/>
      <w:bookmarkStart w:id="419" w:name="_Toc304295579"/>
      <w:bookmarkStart w:id="420" w:name="_Toc297216211"/>
      <w:bookmarkStart w:id="421" w:name="_Toc297123552"/>
      <w:bookmarkStart w:id="422" w:name="_Toc303539159"/>
      <w:bookmarkStart w:id="423" w:name="_Toc312678040"/>
      <w:r>
        <w:rPr>
          <w:rFonts w:hint="eastAsia" w:ascii="宋体" w:hAnsi="宋体" w:eastAsia="宋体" w:cs="宋体"/>
          <w:color w:val="000000" w:themeColor="text1"/>
          <w:sz w:val="22"/>
          <w:szCs w:val="22"/>
          <w:highlight w:val="none"/>
          <w14:textFill>
            <w14:solidFill>
              <w14:schemeClr w14:val="tx1"/>
            </w14:solidFill>
          </w14:textFill>
        </w:rPr>
        <w:t xml:space="preserve">12. </w:t>
      </w:r>
      <w:bookmarkEnd w:id="407"/>
      <w:bookmarkEnd w:id="408"/>
      <w:bookmarkEnd w:id="409"/>
      <w:bookmarkEnd w:id="410"/>
      <w:bookmarkEnd w:id="411"/>
      <w:bookmarkEnd w:id="412"/>
      <w:bookmarkEnd w:id="413"/>
      <w:bookmarkEnd w:id="414"/>
      <w:bookmarkEnd w:id="415"/>
      <w:bookmarkEnd w:id="416"/>
      <w:r>
        <w:rPr>
          <w:rFonts w:hint="eastAsia" w:ascii="宋体" w:hAnsi="宋体" w:eastAsia="宋体" w:cs="宋体"/>
          <w:color w:val="000000" w:themeColor="text1"/>
          <w:sz w:val="22"/>
          <w:szCs w:val="22"/>
          <w:highlight w:val="none"/>
          <w14:textFill>
            <w14:solidFill>
              <w14:schemeClr w14:val="tx1"/>
            </w14:solidFill>
          </w14:textFill>
        </w:rPr>
        <w:t>合同价格、计量与支付</w:t>
      </w:r>
      <w:bookmarkEnd w:id="417"/>
    </w:p>
    <w:bookmarkEnd w:id="418"/>
    <w:bookmarkEnd w:id="419"/>
    <w:bookmarkEnd w:id="420"/>
    <w:bookmarkEnd w:id="421"/>
    <w:bookmarkEnd w:id="422"/>
    <w:bookmarkEnd w:id="423"/>
    <w:p w14:paraId="4BD8CBC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24" w:name="_Toc292559916"/>
      <w:bookmarkStart w:id="425" w:name="_Toc292559411"/>
      <w:bookmarkStart w:id="426" w:name="_Toc267251461"/>
      <w:bookmarkStart w:id="427" w:name="_Toc296503206"/>
      <w:bookmarkStart w:id="428" w:name="_Toc297120506"/>
      <w:bookmarkStart w:id="429" w:name="_Toc296891034"/>
      <w:bookmarkStart w:id="430" w:name="_Toc297048392"/>
      <w:bookmarkStart w:id="431" w:name="_Toc296891246"/>
      <w:bookmarkStart w:id="432" w:name="_Toc296944545"/>
      <w:bookmarkStart w:id="433" w:name="_Toc296347205"/>
      <w:bookmarkStart w:id="434" w:name="_Toc296346707"/>
      <w:bookmarkStart w:id="435" w:name="_Toc297123553"/>
      <w:bookmarkStart w:id="436" w:name="_Toc297216212"/>
      <w:bookmarkStart w:id="437" w:name="_Toc304295580"/>
      <w:bookmarkStart w:id="438" w:name="_Toc303539160"/>
      <w:bookmarkStart w:id="439" w:name="_Toc312678041"/>
      <w:bookmarkStart w:id="440" w:name="_Toc300935003"/>
      <w:r>
        <w:rPr>
          <w:rFonts w:hint="eastAsia" w:ascii="宋体" w:hAnsi="宋体" w:eastAsia="宋体" w:cs="宋体"/>
          <w:color w:val="000000" w:themeColor="text1"/>
          <w:sz w:val="22"/>
          <w:szCs w:val="22"/>
          <w:highlight w:val="none"/>
          <w14:textFill>
            <w14:solidFill>
              <w14:schemeClr w14:val="tx1"/>
            </w14:solidFill>
          </w14:textFill>
        </w:rPr>
        <w:t>12.1 合</w:t>
      </w:r>
      <w:bookmarkEnd w:id="424"/>
      <w:bookmarkEnd w:id="425"/>
      <w:bookmarkEnd w:id="426"/>
      <w:r>
        <w:rPr>
          <w:rFonts w:hint="eastAsia" w:ascii="宋体" w:hAnsi="宋体" w:eastAsia="宋体" w:cs="宋体"/>
          <w:color w:val="000000" w:themeColor="text1"/>
          <w:sz w:val="22"/>
          <w:szCs w:val="22"/>
          <w:highlight w:val="none"/>
          <w14:textFill>
            <w14:solidFill>
              <w14:schemeClr w14:val="tx1"/>
            </w14:solidFill>
          </w14:textFill>
        </w:rPr>
        <w:t>同价</w:t>
      </w:r>
      <w:bookmarkEnd w:id="427"/>
      <w:bookmarkEnd w:id="428"/>
      <w:bookmarkEnd w:id="429"/>
      <w:bookmarkEnd w:id="430"/>
      <w:bookmarkEnd w:id="431"/>
      <w:bookmarkEnd w:id="432"/>
      <w:bookmarkEnd w:id="433"/>
      <w:bookmarkEnd w:id="434"/>
      <w:r>
        <w:rPr>
          <w:rFonts w:hint="eastAsia" w:ascii="宋体" w:hAnsi="宋体" w:eastAsia="宋体" w:cs="宋体"/>
          <w:color w:val="000000" w:themeColor="text1"/>
          <w:sz w:val="22"/>
          <w:szCs w:val="22"/>
          <w:highlight w:val="none"/>
          <w14:textFill>
            <w14:solidFill>
              <w14:schemeClr w14:val="tx1"/>
            </w14:solidFill>
          </w14:textFill>
        </w:rPr>
        <w:t>格形式</w:t>
      </w:r>
    </w:p>
    <w:bookmarkEnd w:id="435"/>
    <w:bookmarkEnd w:id="436"/>
    <w:bookmarkEnd w:id="437"/>
    <w:bookmarkEnd w:id="438"/>
    <w:bookmarkEnd w:id="439"/>
    <w:bookmarkEnd w:id="440"/>
    <w:p w14:paraId="63B45C0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w:t>
      </w:r>
    </w:p>
    <w:p w14:paraId="4EC9BE9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综合单价包含的风险范围：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包含各类建材的市场风险和国家政策性调整风险系数和发包人对工期、质量等的要求，并计入综合单价，专用条款有约定的除外 </w:t>
      </w:r>
      <w:r>
        <w:rPr>
          <w:rFonts w:hint="eastAsia" w:ascii="宋体" w:hAnsi="宋体" w:eastAsia="宋体" w:cs="宋体"/>
          <w:color w:val="000000" w:themeColor="text1"/>
          <w:sz w:val="22"/>
          <w:szCs w:val="22"/>
          <w:highlight w:val="none"/>
          <w14:textFill>
            <w14:solidFill>
              <w14:schemeClr w14:val="tx1"/>
            </w14:solidFill>
          </w14:textFill>
        </w:rPr>
        <w:t>。</w:t>
      </w:r>
    </w:p>
    <w:p w14:paraId="49877CA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 </w:t>
      </w:r>
      <w:r>
        <w:rPr>
          <w:rFonts w:hint="eastAsia" w:ascii="宋体" w:hAnsi="宋体" w:eastAsia="宋体" w:cs="宋体"/>
          <w:color w:val="000000" w:themeColor="text1"/>
          <w:sz w:val="22"/>
          <w:szCs w:val="22"/>
          <w:highlight w:val="none"/>
          <w14:textFill>
            <w14:solidFill>
              <w14:schemeClr w14:val="tx1"/>
            </w14:solidFill>
          </w14:textFill>
        </w:rPr>
        <w:t>。</w:t>
      </w:r>
    </w:p>
    <w:p w14:paraId="5A93B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双方约定 </w:t>
      </w:r>
      <w:r>
        <w:rPr>
          <w:rFonts w:hint="eastAsia" w:ascii="宋体" w:hAnsi="宋体" w:eastAsia="宋体" w:cs="宋体"/>
          <w:color w:val="000000" w:themeColor="text1"/>
          <w:sz w:val="22"/>
          <w:szCs w:val="22"/>
          <w:highlight w:val="none"/>
          <w14:textFill>
            <w14:solidFill>
              <w14:schemeClr w14:val="tx1"/>
            </w14:solidFill>
          </w14:textFill>
        </w:rPr>
        <w:t>。</w:t>
      </w:r>
    </w:p>
    <w:p w14:paraId="5CDE992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12.1.1 本工程采用“固定单价”合同，合同实施过程中除招标文件和合同约定允许调整外，其余的综合单价不作调整。</w:t>
      </w:r>
    </w:p>
    <w:p w14:paraId="0AD7A1D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12.1.2 工程结算方式为：</w:t>
      </w:r>
    </w:p>
    <w:p w14:paraId="543490DD">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本工程按增值税一般方式计税</w:t>
      </w:r>
    </w:p>
    <w:p w14:paraId="31343D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1、本招标项目工程竣工结算价=分部分项工程费用（实际数量*中标综合单价）+措施项目费用+其他项目费用+规费+税金+招标文件和合同约定可以调整的价格。</w:t>
      </w:r>
    </w:p>
    <w:p w14:paraId="6507AC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上式中招标文件及合同约定调整的价格包括但不限于以下五种情况：</w:t>
      </w:r>
    </w:p>
    <w:p w14:paraId="40768B6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①发包人签证使用的暂列金额、专业工程实际发包价。</w:t>
      </w:r>
    </w:p>
    <w:p w14:paraId="78CE731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②经发包人认可的《专业工程暂估价及结算价表》（如有）中的材料价格调整。</w:t>
      </w:r>
    </w:p>
    <w:p w14:paraId="26069C6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由于工程量清单漏项或非承包人原因的工程变更，造成增加新的工程量清单项目，其相应综合单价由承包人按招标文件约定的计价程序提出综合单价，经发包人确认后参照中标下浮率（%）同比下浮后进行结算。如按以上方法无法计算的按照合理的成本与利润构成的原则，由合同当事人按照通用条款第4.4款〔商定或确定〕确定变更工作的单价。</w:t>
      </w:r>
    </w:p>
    <w:p w14:paraId="7E98977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中标价（扣除招标预算价中暂列金额、专业工程暂估价、暂估</w:t>
      </w:r>
    </w:p>
    <w:p w14:paraId="37D4138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材料或设备除税总价（及上述三项的规费和税金）</w:t>
      </w:r>
    </w:p>
    <w:p w14:paraId="3F5B10E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下浮率＝1－ ------------------------------------------------------- ×100%</w:t>
      </w:r>
    </w:p>
    <w:p w14:paraId="737983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招标预算价（扣除招标预算价中暂列金额、专业工程暂估价、</w:t>
      </w:r>
    </w:p>
    <w:p w14:paraId="378103C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暂估材料或设备除税总价及上述三项的规费和税金）</w:t>
      </w:r>
    </w:p>
    <w:p w14:paraId="253D50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由于分部分项工程量清单漏项或非承包人原因的工程变更引起的措施项目变化，造成施工组织设计或施工方案变更，拟实施的方案经发承包双方确认后执行，原措施费已有的项目，按原措施费的组价方法调整；原措施费中没有的措施项目，由承包人根据措施项目变更情况提出适当的措施费变更，经发包人确认后调整。</w:t>
      </w:r>
    </w:p>
    <w:p w14:paraId="41A455C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以投标截止日前28天为基准日，其后国家的法律、法规、规章和政策发生变化导致工程税金、规费、人工发生变化，并由省级或行业建设行政主管部门或其授权的工程造价管理机构根据上述变化发布了政策性调整，影响工程造价的，相应调整工程价款。</w:t>
      </w:r>
    </w:p>
    <w:p w14:paraId="687B4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特别说明：</w:t>
      </w:r>
    </w:p>
    <w:p w14:paraId="7A750BE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①合同实施期间，本工程所有材料（设备）价格的上涨或下降风险均由承包人承担或受益，承包人在报价中充分考虑材料费价格波动风险，结算时价格一律不调整。</w:t>
      </w:r>
    </w:p>
    <w:p w14:paraId="2C19C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②本工程实施过程中，不论最终结算工作量多少，中标的综合单价均不调整，其报价风险由投标人综合考虑在报价中。备注：本项目按磋商后中标的总价签订合同，投标人工程量清单中的综合单价同比例下浮（</w:t>
      </w:r>
      <w:r>
        <w:rPr>
          <w:rFonts w:hint="eastAsia" w:ascii="宋体" w:hAnsi="宋体" w:eastAsia="宋体" w:cs="宋体"/>
          <w:color w:val="000000" w:themeColor="text1"/>
          <w:highlight w:val="none"/>
          <w14:textFill>
            <w14:solidFill>
              <w14:schemeClr w14:val="tx1"/>
            </w14:solidFill>
          </w14:textFill>
        </w:rPr>
        <w:t>暂列金、暂估价不参与下浮</w:t>
      </w:r>
      <w:r>
        <w:rPr>
          <w:rFonts w:hint="eastAsia" w:ascii="宋体" w:hAnsi="宋体" w:eastAsia="宋体" w:cs="宋体"/>
          <w:color w:val="000000" w:themeColor="text1"/>
          <w:sz w:val="22"/>
          <w:szCs w:val="22"/>
          <w:highlight w:val="none"/>
          <w14:textFill>
            <w14:solidFill>
              <w14:schemeClr w14:val="tx1"/>
            </w14:solidFill>
          </w14:textFill>
        </w:rPr>
        <w:t>）。</w:t>
      </w:r>
    </w:p>
    <w:p w14:paraId="60088A2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现场安全文明施工措施费调整方式：工程竣工后，由市、县（市）工程造价管理机构根据施工合同、省市级建筑安全文明施工标准化示范项目创建和通报情况等办理核定手续，出具《现场安全文明施工措施费费率核定表》，竣工结算时上述费用根据核定结果调整。未经核定，不予计算。（如造价部门出具新规定标准，竣工结算时根据相关规定进行调整。）</w:t>
      </w:r>
    </w:p>
    <w:p w14:paraId="0E8E3777">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3、竣工结算时若承包人完成了发包人所要求的且为合同以外的零星工作或发生非承包人责任事件的工程量按现场实际完成的工程量经发包人签证确定。</w:t>
      </w:r>
    </w:p>
    <w:p w14:paraId="29BE5E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4、工程竣工结算时，《其他项目清单与计价汇总表》中的暂列金额和暂估价均按发包人签证认可的价格执行，而且只调整此材料的价差和对应的规费及税金。</w:t>
      </w:r>
    </w:p>
    <w:p w14:paraId="4700208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承包人须注意：施工过程中须考虑成品保护措施费用以及材料运输过程中防尘、密闭运输、安全等措施费用、路面清洁、洒水等相关费用及与建设、城管等部门之间的矛盾协调、处罚及应上缴的相关规费等费用，承包人须自行考虑，并将其考虑进入承包报价中，与发包人无涉。成品保护按相关要求执行，工程施工不得随意破坏已完工的项目，如破坏需及时按原状修复，否则由发包人另行按排施工队伍修复，费用由发包方按排的承包人报价，在承包人结算总价中按3倍的价格扣减。</w:t>
      </w:r>
    </w:p>
    <w:p w14:paraId="66DD0506">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6、工程所发生施工、生活、消防用水、用电由承包人挂表计量，水、电费用按供电局、自来水公司收费费用及损耗在每次电费结算时按月缴清。</w:t>
      </w:r>
    </w:p>
    <w:p w14:paraId="78EBC07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承包人应严格按现行的行业规定落实材料款、机械费支付措施执行，确保及时支付。若发生拖欠现象，承包人不及时、妥善处理并影响发包人的，发包人可直接支付。发包人因此而提前支付的部分，每天按所提前支付的部分万分之五向总承包人计取罚金，直至发包人向总承包人下次付款之日，并在付款时作相应扣罚。</w:t>
      </w:r>
    </w:p>
    <w:p w14:paraId="1F7747E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8、施工现场如有建筑垃圾及地面地下其他构、建筑物基础等障碍物，该清理障碍等费用包含在总价措施费中，由承包人包干使用施工时不再签证。</w:t>
      </w:r>
    </w:p>
    <w:p w14:paraId="62EEEC9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9、本工程施工过程中遇到的地方矛盾及由此发生的费用由承包人自行负责。请承包人在投标报价中予以自行考虑，与发包人无涉。</w:t>
      </w:r>
    </w:p>
    <w:p w14:paraId="0D4C2B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本项目发包人要求承包人严格按照《保障农民工工资支付条例》（国令第724号）文件要求执行。承包人进场前必须在发包人指定的银行开设农民工工资支付专用账户，用于支付农民工工资。在项目各分部工程开工前，发包人应将相应比例的人工工资划拨到承包人本项目的农民工工资支付专用账户。发包人要求承包人实行农民工实名制用工管理，在施工现场要设置脸谱和指纹考勤仪，承包人应在工程项目部配置专职劳务员，对进场农民工实施考勤，同时建立农民工进出场登记和劳动考勤计量等台账，并为农民工申办个人工资帐户和银行卡，按月编制工资支付书面记录，逐月向农民工提供工资清单，由农民工签字查收并保存两年以上备查。在各分部工程或专业工程自验合格后，及时向发包人报送民工工资支付申请表并附民工工资清单，开户银行凭施工和发包人共同盖章确认的民工工资支付申请表及民工工资清单，将民工工资直接转入民工的个人工资帐户。若承包人不能执行关于农民工工资的相关文件规定，发包人有权向主管部门申请与其单方面解除施工合同。</w:t>
      </w:r>
    </w:p>
    <w:p w14:paraId="243DEE3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11、如有土方为外购土时运距由承包人自行考虑，土源土质回填时经发包人验收合格后方可施工。</w:t>
      </w:r>
    </w:p>
    <w:p w14:paraId="1E3941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12、双方约定合同价款不予调整的情形，包括但不仅限于下列情形：</w:t>
      </w:r>
    </w:p>
    <w:p w14:paraId="78E2DCC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提供的图纸如果存在明显错误或疏忽，承包人作为合格的承包商应当发现并及时通知监理人。如果承包人不能发现或发现后不及时通知监理人，由此引起的停工索赔与返工经济签证发包人不予认可，结算价款不予调整；</w:t>
      </w:r>
    </w:p>
    <w:p w14:paraId="1FDA02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②承包人原因造成工期延误，延误期间发生的材料价格上涨差额由承包人承担，不予调整；</w:t>
      </w:r>
    </w:p>
    <w:p w14:paraId="0FE9D47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③因承包人自身原因导致的工程变更、返工，造成工程价款增加的，不予调整；</w:t>
      </w:r>
    </w:p>
    <w:p w14:paraId="623B2A9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④签证内容不全、与事实不符或不合技术标准、规范要求、施工常规、正常施工方法及已在招标文件要求计入投标报价范围的不予调整；</w:t>
      </w:r>
    </w:p>
    <w:p w14:paraId="6751A12B">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⑤不符合工程结算相关的法律、法规、规范性文件规定的价款不予调整。</w:t>
      </w:r>
    </w:p>
    <w:p w14:paraId="2EA89C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w:t>
      </w:r>
    </w:p>
    <w:p w14:paraId="2AFC29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1D52F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25F92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E40CA5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C4D0B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41" w:name="_Toc312678042"/>
      <w:bookmarkStart w:id="442" w:name="_Toc300935004"/>
      <w:bookmarkStart w:id="443" w:name="_Toc303539161"/>
      <w:bookmarkStart w:id="444" w:name="_Toc297123554"/>
      <w:bookmarkStart w:id="445" w:name="_Toc304295581"/>
      <w:bookmarkStart w:id="446" w:name="_Toc297216213"/>
      <w:bookmarkStart w:id="447" w:name="_Toc296944546"/>
      <w:bookmarkStart w:id="448" w:name="_Toc292559412"/>
      <w:bookmarkStart w:id="449" w:name="_Toc296503207"/>
      <w:bookmarkStart w:id="450" w:name="_Toc292559917"/>
      <w:bookmarkStart w:id="451" w:name="_Toc296891035"/>
      <w:bookmarkStart w:id="452" w:name="_Toc296891247"/>
      <w:bookmarkStart w:id="453" w:name="_Toc297048393"/>
      <w:bookmarkStart w:id="454" w:name="_Toc296346708"/>
      <w:bookmarkStart w:id="455" w:name="_Toc296347206"/>
      <w:bookmarkStart w:id="456" w:name="_Toc297120507"/>
      <w:r>
        <w:rPr>
          <w:rFonts w:hint="eastAsia" w:ascii="宋体" w:hAnsi="宋体" w:eastAsia="宋体" w:cs="宋体"/>
          <w:color w:val="000000" w:themeColor="text1"/>
          <w:sz w:val="22"/>
          <w:szCs w:val="22"/>
          <w:highlight w:val="none"/>
          <w14:textFill>
            <w14:solidFill>
              <w14:schemeClr w14:val="tx1"/>
            </w14:solidFill>
          </w14:textFill>
        </w:rPr>
        <w:t>12.2 预付款</w:t>
      </w:r>
    </w:p>
    <w:bookmarkEnd w:id="441"/>
    <w:bookmarkEnd w:id="442"/>
    <w:bookmarkEnd w:id="443"/>
    <w:bookmarkEnd w:id="444"/>
    <w:bookmarkEnd w:id="445"/>
    <w:bookmarkEnd w:id="446"/>
    <w:p w14:paraId="05E3AE1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12.2.1 预付款的支付</w:t>
      </w:r>
    </w:p>
    <w:p w14:paraId="7CEA4D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预付款支付比例或金额：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A9E006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12.2.2 预付款担保</w:t>
      </w:r>
    </w:p>
    <w:p w14:paraId="393219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承包人提交预付款担保的期限：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8A6C1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预付款担保的形式为：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447"/>
    <w:bookmarkEnd w:id="448"/>
    <w:bookmarkEnd w:id="449"/>
    <w:bookmarkEnd w:id="450"/>
    <w:bookmarkEnd w:id="451"/>
    <w:bookmarkEnd w:id="452"/>
    <w:bookmarkEnd w:id="453"/>
    <w:bookmarkEnd w:id="454"/>
    <w:bookmarkEnd w:id="455"/>
    <w:bookmarkEnd w:id="456"/>
    <w:p w14:paraId="0AEED73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 计量</w:t>
      </w:r>
    </w:p>
    <w:p w14:paraId="7BA02D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12.3.1 计量原则</w:t>
      </w:r>
    </w:p>
    <w:p w14:paraId="03E1852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工程量计算规则：</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以相关的国家标准、行业标准为依据  </w:t>
      </w:r>
      <w:r>
        <w:rPr>
          <w:rFonts w:hint="eastAsia" w:ascii="宋体" w:hAnsi="宋体" w:eastAsia="宋体" w:cs="宋体"/>
          <w:color w:val="000000" w:themeColor="text1"/>
          <w:sz w:val="22"/>
          <w:szCs w:val="22"/>
          <w:highlight w:val="none"/>
          <w14:textFill>
            <w14:solidFill>
              <w14:schemeClr w14:val="tx1"/>
            </w14:solidFill>
          </w14:textFill>
        </w:rPr>
        <w:t>。</w:t>
      </w:r>
    </w:p>
    <w:p w14:paraId="0C806CC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12.3.2 计量周期</w:t>
      </w:r>
    </w:p>
    <w:p w14:paraId="302A3F9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关于计量周期的约定：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承包人每月25日前向发包人和本工程的造价控制单位同时申报已完成的合格工程量 </w:t>
      </w:r>
      <w:r>
        <w:rPr>
          <w:rFonts w:hint="eastAsia" w:ascii="宋体" w:hAnsi="宋体" w:eastAsia="宋体" w:cs="宋体"/>
          <w:color w:val="000000" w:themeColor="text1"/>
          <w:sz w:val="22"/>
          <w:szCs w:val="22"/>
          <w:highlight w:val="none"/>
          <w14:textFill>
            <w14:solidFill>
              <w14:schemeClr w14:val="tx1"/>
            </w14:solidFill>
          </w14:textFill>
        </w:rPr>
        <w:t>。</w:t>
      </w:r>
    </w:p>
    <w:p w14:paraId="75CFF8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12.3.3 单价合同的计量</w:t>
      </w:r>
    </w:p>
    <w:p w14:paraId="24E3CA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关于单价合同计量的约定：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工程量按(2013清单计量规范）按实计算 </w:t>
      </w:r>
      <w:r>
        <w:rPr>
          <w:rFonts w:hint="eastAsia" w:ascii="宋体" w:hAnsi="宋体" w:eastAsia="宋体" w:cs="宋体"/>
          <w:color w:val="000000" w:themeColor="text1"/>
          <w:sz w:val="22"/>
          <w:szCs w:val="22"/>
          <w:highlight w:val="none"/>
          <w14:textFill>
            <w14:solidFill>
              <w14:schemeClr w14:val="tx1"/>
            </w14:solidFill>
          </w14:textFill>
        </w:rPr>
        <w:t>。</w:t>
      </w:r>
    </w:p>
    <w:p w14:paraId="5C9A16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12.3.4 总价合同的计量</w:t>
      </w:r>
    </w:p>
    <w:p w14:paraId="71BC0C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关于总价合同计量的约定：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13384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12.3.5总价合同采用支付分解表计量支付的，是否适用第12.3.4 项〔总价合同的计量〕约定进行计量：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35367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12.3.6 其他价格形式合同的计量</w:t>
      </w:r>
    </w:p>
    <w:p w14:paraId="20899F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其他价格形式的计量方式和程序：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27CDF1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 工程进度款支付</w:t>
      </w:r>
    </w:p>
    <w:p w14:paraId="0743ED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457" w:name="_Toc297216215"/>
      <w:bookmarkStart w:id="458" w:name="_Toc292559921"/>
      <w:bookmarkStart w:id="459" w:name="_Toc296346712"/>
      <w:bookmarkStart w:id="460" w:name="_Toc296347210"/>
      <w:bookmarkStart w:id="461" w:name="_Toc297123556"/>
      <w:bookmarkStart w:id="462" w:name="_Toc292559416"/>
      <w:bookmarkStart w:id="463" w:name="_Toc296944550"/>
      <w:bookmarkStart w:id="464" w:name="_Toc296891251"/>
      <w:bookmarkStart w:id="465" w:name="_Toc300935006"/>
      <w:bookmarkStart w:id="466" w:name="_Toc296503211"/>
      <w:bookmarkStart w:id="467" w:name="_Toc303539163"/>
      <w:bookmarkStart w:id="468" w:name="_Toc297048397"/>
      <w:bookmarkStart w:id="469" w:name="_Toc296891039"/>
      <w:bookmarkStart w:id="470" w:name="_Toc297120511"/>
      <w:r>
        <w:rPr>
          <w:rFonts w:hint="eastAsia" w:ascii="宋体" w:hAnsi="宋体" w:eastAsia="宋体" w:cs="宋体"/>
          <w:color w:val="000000" w:themeColor="text1"/>
          <w:sz w:val="22"/>
          <w:szCs w:val="22"/>
          <w:highlight w:val="none"/>
          <w14:textFill>
            <w14:solidFill>
              <w14:schemeClr w14:val="tx1"/>
            </w14:solidFill>
          </w14:textFill>
        </w:rPr>
        <w:t>12.4.1 付款周期</w:t>
      </w:r>
    </w:p>
    <w:p w14:paraId="44ED0E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关于付款周期的约定：</w:t>
      </w:r>
    </w:p>
    <w:p w14:paraId="391976AA">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u w:val="singl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本项目无预付款，项目全部竣工并经验收合格后付至合同总价的50%。经审计验收合格后拨付至结算价的80%。余款质保期满无质量问题付清。</w:t>
      </w:r>
    </w:p>
    <w:p w14:paraId="31292F01">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注：每次付款需提供等额的增值税发票</w:t>
      </w:r>
      <w:r>
        <w:rPr>
          <w:rFonts w:hint="eastAsia" w:ascii="宋体" w:hAnsi="宋体" w:eastAsia="宋体" w:cs="宋体"/>
          <w:bCs/>
          <w:color w:val="000000" w:themeColor="text1"/>
          <w:sz w:val="22"/>
          <w:szCs w:val="22"/>
          <w:highlight w:val="none"/>
          <w:lang w:eastAsia="zh-CN"/>
          <w14:textFill>
            <w14:solidFill>
              <w14:schemeClr w14:val="tx1"/>
            </w14:solidFill>
          </w14:textFill>
        </w:rPr>
        <w:t>，</w:t>
      </w:r>
      <w:r>
        <w:rPr>
          <w:rFonts w:hint="eastAsia" w:ascii="宋体" w:hAnsi="宋体" w:eastAsia="宋体" w:cs="宋体"/>
          <w:bCs/>
          <w:color w:val="000000" w:themeColor="text1"/>
          <w:sz w:val="22"/>
          <w:szCs w:val="22"/>
          <w:highlight w:val="none"/>
          <w14:textFill>
            <w14:solidFill>
              <w14:schemeClr w14:val="tx1"/>
            </w14:solidFill>
          </w14:textFill>
        </w:rPr>
        <w:t>甲方应当自收到乙方完整的发票后10日内支付资金，以上付款均为利息，一律通过银行结转。</w:t>
      </w:r>
    </w:p>
    <w:p w14:paraId="64FF68CF">
      <w:pPr>
        <w:pageBreakBefore w:val="0"/>
        <w:kinsoku/>
        <w:wordWrap/>
        <w:overflowPunct/>
        <w:topLinePunct w:val="0"/>
        <w:bidi w:val="0"/>
        <w:snapToGrid/>
        <w:spacing w:line="40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如需向与财政部门签署融资合作协议的银行办理授信申请的，需在协作银行开立结算户作为回款专用户，作为该笔合同唯一的收款账户，供货结束货款结算时，财政部门将政府采购款直接支付到该账户。</w:t>
      </w:r>
    </w:p>
    <w:p w14:paraId="1BF51A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12.4.2 进度付款申请单的编制</w:t>
      </w:r>
    </w:p>
    <w:p w14:paraId="592BBC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关于进度付款申请单编制的约定：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722D20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hint="eastAsia" w:ascii="宋体" w:hAnsi="宋体" w:eastAsia="宋体" w:cs="宋体"/>
          <w:color w:val="000000" w:themeColor="text1"/>
          <w:sz w:val="22"/>
          <w:szCs w:val="22"/>
          <w:highlight w:val="none"/>
          <w14:textFill>
            <w14:solidFill>
              <w14:schemeClr w14:val="tx1"/>
            </w14:solidFill>
          </w14:textFill>
        </w:rPr>
        <w:t>2.4.3 进度付款申请单的提交</w:t>
      </w:r>
    </w:p>
    <w:p w14:paraId="75C932C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9BC187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B0DA9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（3）其他价格形式合同进度付款申请单提交的约定：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5FDA6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12.4.4 进度款审核和支付</w:t>
      </w:r>
    </w:p>
    <w:p w14:paraId="6E7264B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（1）监理人审查并报送发包人的期限：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8EE7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发包人完成审批并签发进度款支付证书的期限：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15天   </w:t>
      </w:r>
      <w:r>
        <w:rPr>
          <w:rFonts w:hint="eastAsia" w:ascii="宋体" w:hAnsi="宋体" w:eastAsia="宋体" w:cs="宋体"/>
          <w:color w:val="000000" w:themeColor="text1"/>
          <w:sz w:val="22"/>
          <w:szCs w:val="22"/>
          <w:highlight w:val="none"/>
          <w14:textFill>
            <w14:solidFill>
              <w14:schemeClr w14:val="tx1"/>
            </w14:solidFill>
          </w14:textFill>
        </w:rPr>
        <w:t>。</w:t>
      </w:r>
    </w:p>
    <w:p w14:paraId="1A639A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（2）发包人支付进度款的期限：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DB6A9D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发包人逾期支付进度款的违约金的计算方式：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42BF8FA">
      <w:pPr>
        <w:pageBreakBefore w:val="0"/>
        <w:kinsoku/>
        <w:wordWrap/>
        <w:overflowPunct/>
        <w:topLinePunct w:val="0"/>
        <w:bidi w:val="0"/>
        <w:snapToGrid/>
        <w:spacing w:line="400" w:lineRule="exact"/>
        <w:ind w:firstLine="550"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12.4.6 支付分解表的编制</w:t>
      </w:r>
    </w:p>
    <w:p w14:paraId="6F4DABC1">
      <w:pPr>
        <w:pageBreakBefore w:val="0"/>
        <w:kinsoku/>
        <w:wordWrap/>
        <w:overflowPunct/>
        <w:topLinePunct w:val="0"/>
        <w:bidi w:val="0"/>
        <w:snapToGrid/>
        <w:spacing w:line="400" w:lineRule="exact"/>
        <w:ind w:left="4397" w:leftChars="208" w:hanging="3960" w:hangingChars="18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B52D6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3、单价合同的总价项目支付分解表的编制与审批：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300"/>
    <w:p w14:paraId="5504FEF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71" w:name="_Toc351203645"/>
      <w:bookmarkStart w:id="472" w:name="_Toc296944558"/>
      <w:bookmarkStart w:id="473" w:name="_Toc296891259"/>
      <w:bookmarkStart w:id="474" w:name="_Toc312678053"/>
      <w:bookmarkStart w:id="475" w:name="_Toc296503219"/>
      <w:bookmarkStart w:id="476" w:name="_Toc297123564"/>
      <w:bookmarkStart w:id="477" w:name="_Toc292559424"/>
      <w:bookmarkStart w:id="478" w:name="_Toc304295593"/>
      <w:bookmarkStart w:id="479" w:name="_Toc297120519"/>
      <w:bookmarkStart w:id="480" w:name="_Toc292559929"/>
      <w:bookmarkStart w:id="481" w:name="_Toc296891047"/>
      <w:bookmarkStart w:id="482" w:name="_Toc297048405"/>
      <w:bookmarkStart w:id="483" w:name="_Toc303539172"/>
      <w:bookmarkStart w:id="484" w:name="_Toc296347218"/>
      <w:bookmarkStart w:id="485" w:name="_Toc296346720"/>
      <w:bookmarkStart w:id="486" w:name="_Toc297216223"/>
      <w:bookmarkStart w:id="487" w:name="_Toc300935015"/>
      <w:r>
        <w:rPr>
          <w:rFonts w:hint="eastAsia" w:ascii="宋体" w:hAnsi="宋体" w:eastAsia="宋体" w:cs="宋体"/>
          <w:color w:val="000000" w:themeColor="text1"/>
          <w:sz w:val="22"/>
          <w:szCs w:val="22"/>
          <w:highlight w:val="none"/>
          <w14:textFill>
            <w14:solidFill>
              <w14:schemeClr w14:val="tx1"/>
            </w14:solidFill>
          </w14:textFill>
        </w:rPr>
        <w:t>13.验收和工程试车</w:t>
      </w:r>
      <w:bookmarkEnd w:id="471"/>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5EAC8C3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 分部分项工程验收</w:t>
      </w:r>
    </w:p>
    <w:p w14:paraId="12A127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13.1.2监理人不能按时进行验收时，应提前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2BF9DB76">
      <w:pPr>
        <w:pageBreakBefore w:val="0"/>
        <w:kinsoku/>
        <w:wordWrap/>
        <w:overflowPunct/>
        <w:topLinePunct w:val="0"/>
        <w:bidi w:val="0"/>
        <w:snapToGrid/>
        <w:spacing w:line="400" w:lineRule="exact"/>
        <w:ind w:firstLine="440" w:firstLineChars="20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3745CF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88" w:name="_Toc312678056"/>
      <w:bookmarkStart w:id="489" w:name="_Toc292559428"/>
      <w:bookmarkStart w:id="490" w:name="_Toc296944562"/>
      <w:bookmarkStart w:id="491" w:name="_Toc304295596"/>
      <w:bookmarkStart w:id="492" w:name="_Toc296891051"/>
      <w:bookmarkStart w:id="493" w:name="_Toc292559933"/>
      <w:bookmarkStart w:id="494" w:name="_Toc296503223"/>
      <w:bookmarkStart w:id="495" w:name="_Toc296347222"/>
      <w:bookmarkStart w:id="496" w:name="_Toc296891263"/>
      <w:bookmarkStart w:id="497" w:name="_Toc300935016"/>
      <w:bookmarkStart w:id="498" w:name="_Toc296346724"/>
      <w:bookmarkStart w:id="499" w:name="_Toc297048409"/>
      <w:bookmarkStart w:id="500" w:name="_Toc297123565"/>
      <w:bookmarkStart w:id="501" w:name="_Toc297120523"/>
      <w:bookmarkStart w:id="502" w:name="_Toc303539173"/>
      <w:bookmarkStart w:id="503" w:name="_Toc297216224"/>
      <w:bookmarkStart w:id="504" w:name="_Toc267251471"/>
      <w:bookmarkStart w:id="505" w:name="_Toc267251470"/>
      <w:bookmarkStart w:id="506" w:name="_Toc267251472"/>
      <w:bookmarkStart w:id="507" w:name="_Toc267251476"/>
      <w:bookmarkStart w:id="508" w:name="_Toc267251473"/>
      <w:bookmarkStart w:id="509" w:name="_Toc267251474"/>
      <w:bookmarkStart w:id="510" w:name="_Toc267251475"/>
      <w:r>
        <w:rPr>
          <w:rFonts w:hint="eastAsia" w:ascii="宋体" w:hAnsi="宋体" w:eastAsia="宋体" w:cs="宋体"/>
          <w:color w:val="000000" w:themeColor="text1"/>
          <w:sz w:val="22"/>
          <w:szCs w:val="22"/>
          <w:highlight w:val="none"/>
          <w14:textFill>
            <w14:solidFill>
              <w14:schemeClr w14:val="tx1"/>
            </w14:solidFill>
          </w14:textFill>
        </w:rPr>
        <w:t>13.2 竣工验收</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2E2BAC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511" w:name="_Toc280868704"/>
      <w:bookmarkStart w:id="512" w:name="_Toc280868705"/>
      <w:bookmarkStart w:id="513" w:name="_Toc280868706"/>
      <w:bookmarkStart w:id="514" w:name="_Toc280868707"/>
      <w:bookmarkStart w:id="515" w:name="_Toc280868708"/>
      <w:bookmarkStart w:id="516" w:name="_Toc280868709"/>
      <w:r>
        <w:rPr>
          <w:rFonts w:hint="eastAsia" w:ascii="宋体" w:hAnsi="宋体" w:eastAsia="宋体" w:cs="宋体"/>
          <w:color w:val="000000" w:themeColor="text1"/>
          <w:sz w:val="22"/>
          <w:szCs w:val="22"/>
          <w:highlight w:val="none"/>
          <w14:textFill>
            <w14:solidFill>
              <w14:schemeClr w14:val="tx1"/>
            </w14:solidFill>
          </w14:textFill>
        </w:rPr>
        <w:t>13.2.2竣工验收程序</w:t>
      </w:r>
    </w:p>
    <w:bookmarkEnd w:id="511"/>
    <w:p w14:paraId="2C183CB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关于竣工验收程序的约定：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具备竣工验收条件后先由施工单位进行自检自验，自验合格后报发包人和监理等单位竣工验收进行竣工验收。具体按住房城乡建设部关于印发《房屋建筑和市政基础设施工程竣工验收规定》执行 </w:t>
      </w:r>
      <w:r>
        <w:rPr>
          <w:rFonts w:hint="eastAsia" w:ascii="宋体" w:hAnsi="宋体" w:eastAsia="宋体" w:cs="宋体"/>
          <w:color w:val="000000" w:themeColor="text1"/>
          <w:sz w:val="22"/>
          <w:szCs w:val="22"/>
          <w:highlight w:val="none"/>
          <w14:textFill>
            <w14:solidFill>
              <w14:schemeClr w14:val="tx1"/>
            </w14:solidFill>
          </w14:textFill>
        </w:rPr>
        <w:t>。</w:t>
      </w:r>
    </w:p>
    <w:p w14:paraId="22BD8C3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发包人不按照本项约定组织竣工验收、颁发工程接收证书的违约金的计算方法：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2"/>
    <w:p w14:paraId="467FA0E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13.2.5移交、接收全部与部分工程</w:t>
      </w:r>
    </w:p>
    <w:bookmarkEnd w:id="513"/>
    <w:p w14:paraId="6718A6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承包人向发包人移交工程的期限：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具备竣工验收条件,承包人按国家工程竣工验收有关规定,向发包人代表提供完整竣工资料和竣工验收申请报告。发包人代表收到竣工验收申请报告后48小时给予确认是否具备验收条件，确认后48小时内组织有关部门对本合同竣工内容进行验收,并在验收后48小时内给予批准或提出修改意见。承包人按要求修改,并承担由自身原因造成修改的费用 </w:t>
      </w:r>
      <w:r>
        <w:rPr>
          <w:rFonts w:hint="eastAsia" w:ascii="宋体" w:hAnsi="宋体" w:eastAsia="宋体" w:cs="宋体"/>
          <w:color w:val="000000" w:themeColor="text1"/>
          <w:sz w:val="22"/>
          <w:szCs w:val="22"/>
          <w:highlight w:val="none"/>
          <w14:textFill>
            <w14:solidFill>
              <w14:schemeClr w14:val="tx1"/>
            </w14:solidFill>
          </w14:textFill>
        </w:rPr>
        <w:t>。</w:t>
      </w:r>
    </w:p>
    <w:p w14:paraId="4F21D78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发包人未按本合同约定接收全部或部分工程的，违约金的计算方法为：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4"/>
    <w:p w14:paraId="5E81CD2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承包人未按时移交工程的，违约金的计算方法为：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因承包人原因延误工期的，承包人应承担违约责任，按每拖延一天向发包人支付5000元的违约金 </w:t>
      </w:r>
      <w:r>
        <w:rPr>
          <w:rFonts w:hint="eastAsia" w:ascii="宋体" w:hAnsi="宋体" w:eastAsia="宋体" w:cs="宋体"/>
          <w:color w:val="000000" w:themeColor="text1"/>
          <w:sz w:val="22"/>
          <w:szCs w:val="22"/>
          <w:highlight w:val="none"/>
          <w14:textFill>
            <w14:solidFill>
              <w14:schemeClr w14:val="tx1"/>
            </w14:solidFill>
          </w14:textFill>
        </w:rPr>
        <w:t>。</w:t>
      </w:r>
    </w:p>
    <w:p w14:paraId="5750406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 工程试车</w:t>
      </w:r>
    </w:p>
    <w:bookmarkEnd w:id="515"/>
    <w:p w14:paraId="47F5DB0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13.3.1 试车程序</w:t>
      </w:r>
    </w:p>
    <w:p w14:paraId="137DC1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工程试车内容：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不涉及  </w:t>
      </w:r>
      <w:r>
        <w:rPr>
          <w:rFonts w:hint="eastAsia" w:ascii="宋体" w:hAnsi="宋体" w:eastAsia="宋体" w:cs="宋体"/>
          <w:color w:val="000000" w:themeColor="text1"/>
          <w:sz w:val="22"/>
          <w:szCs w:val="22"/>
          <w:highlight w:val="none"/>
          <w14:textFill>
            <w14:solidFill>
              <w14:schemeClr w14:val="tx1"/>
            </w14:solidFill>
          </w14:textFill>
        </w:rPr>
        <w:t>。</w:t>
      </w:r>
    </w:p>
    <w:p w14:paraId="603DDA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（1）单机无负荷试车费用由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2313A4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（2）无负荷联动试车费用由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CD1F6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13.3.3 投料试车</w:t>
      </w:r>
    </w:p>
    <w:p w14:paraId="7E19105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关于投料试车相关事项的约定：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根据实际情况，按发包人要求执行 </w:t>
      </w:r>
      <w:r>
        <w:rPr>
          <w:rFonts w:hint="eastAsia" w:ascii="宋体" w:hAnsi="宋体" w:eastAsia="宋体" w:cs="宋体"/>
          <w:color w:val="000000" w:themeColor="text1"/>
          <w:sz w:val="22"/>
          <w:szCs w:val="22"/>
          <w:highlight w:val="none"/>
          <w14:textFill>
            <w14:solidFill>
              <w14:schemeClr w14:val="tx1"/>
            </w14:solidFill>
          </w14:textFill>
        </w:rPr>
        <w:t>。</w:t>
      </w:r>
    </w:p>
    <w:p w14:paraId="4DCE59F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 竣工退场</w:t>
      </w:r>
    </w:p>
    <w:p w14:paraId="6F3C35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13.6.1 竣工退场</w:t>
      </w:r>
    </w:p>
    <w:p w14:paraId="7E86A8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承包人完成竣工退场的期限：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工程竣工验收通过后7天内承包人将竣工工程交付发包人，撤离除收尾工程所需的临时设施、人员、材料和设备，承包人不得以任何理由拖延交付及退场时间 </w:t>
      </w:r>
      <w:r>
        <w:rPr>
          <w:rFonts w:hint="eastAsia" w:ascii="宋体" w:hAnsi="宋体" w:eastAsia="宋体" w:cs="宋体"/>
          <w:color w:val="000000" w:themeColor="text1"/>
          <w:sz w:val="22"/>
          <w:szCs w:val="22"/>
          <w:highlight w:val="none"/>
          <w14:textFill>
            <w14:solidFill>
              <w14:schemeClr w14:val="tx1"/>
            </w14:solidFill>
          </w14:textFill>
        </w:rPr>
        <w:t>。</w:t>
      </w:r>
    </w:p>
    <w:p w14:paraId="158DEFE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7" w:name="_Toc351203646"/>
      <w:r>
        <w:rPr>
          <w:rFonts w:hint="eastAsia" w:ascii="宋体" w:hAnsi="宋体" w:eastAsia="宋体" w:cs="宋体"/>
          <w:color w:val="000000" w:themeColor="text1"/>
          <w:sz w:val="22"/>
          <w:szCs w:val="22"/>
          <w:highlight w:val="none"/>
          <w14:textFill>
            <w14:solidFill>
              <w14:schemeClr w14:val="tx1"/>
            </w14:solidFill>
          </w14:textFill>
        </w:rPr>
        <w:t>14. 竣工结算</w:t>
      </w:r>
      <w:bookmarkEnd w:id="517"/>
    </w:p>
    <w:p w14:paraId="7DE5004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 竣工结算申请</w:t>
      </w:r>
    </w:p>
    <w:p w14:paraId="147614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承包人提交竣工结算申请单的期限：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305D1D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竣工结算申请单应包括的内容：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除通用条款约定外，还包括施工图、竣工资料等原件，要求随竣工结算申请单一同提交发包人 </w:t>
      </w:r>
      <w:r>
        <w:rPr>
          <w:rFonts w:hint="eastAsia" w:ascii="宋体" w:hAnsi="宋体" w:eastAsia="宋体" w:cs="宋体"/>
          <w:color w:val="000000" w:themeColor="text1"/>
          <w:sz w:val="22"/>
          <w:szCs w:val="22"/>
          <w:highlight w:val="none"/>
          <w14:textFill>
            <w14:solidFill>
              <w14:schemeClr w14:val="tx1"/>
            </w14:solidFill>
          </w14:textFill>
        </w:rPr>
        <w:t>。</w:t>
      </w:r>
    </w:p>
    <w:p w14:paraId="4BCB0AF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竣工结算审核</w:t>
      </w:r>
    </w:p>
    <w:p w14:paraId="7A79067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发包人审批竣工付款申请单的期限：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按招标文件约定的工程款支付条款约定付款 </w:t>
      </w:r>
      <w:r>
        <w:rPr>
          <w:rFonts w:hint="eastAsia" w:ascii="宋体" w:hAnsi="宋体" w:eastAsia="宋体" w:cs="宋体"/>
          <w:color w:val="000000" w:themeColor="text1"/>
          <w:sz w:val="22"/>
          <w:szCs w:val="22"/>
          <w:highlight w:val="none"/>
          <w14:textFill>
            <w14:solidFill>
              <w14:schemeClr w14:val="tx1"/>
            </w14:solidFill>
          </w14:textFill>
        </w:rPr>
        <w:t>。</w:t>
      </w:r>
    </w:p>
    <w:p w14:paraId="5BA3166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发包人完成竣工付款的期限：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按财政部、建设部联合颁发的《建设工程价款结算暂行办法》（财建[2004]369号）执行  </w:t>
      </w:r>
      <w:r>
        <w:rPr>
          <w:rFonts w:hint="eastAsia" w:ascii="宋体" w:hAnsi="宋体" w:eastAsia="宋体" w:cs="宋体"/>
          <w:color w:val="000000" w:themeColor="text1"/>
          <w:sz w:val="22"/>
          <w:szCs w:val="22"/>
          <w:highlight w:val="none"/>
          <w14:textFill>
            <w14:solidFill>
              <w14:schemeClr w14:val="tx1"/>
            </w14:solidFill>
          </w14:textFill>
        </w:rPr>
        <w:t>。</w:t>
      </w:r>
    </w:p>
    <w:p w14:paraId="306D53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关于竣工付款证书异议部分复核的方式和程序：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003102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 最终结清</w:t>
      </w:r>
    </w:p>
    <w:p w14:paraId="65C365E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14.4.1 最终结清申请单</w:t>
      </w:r>
    </w:p>
    <w:p w14:paraId="13AFB24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承包人提交最终结清申请单的份数：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BE1BFF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7FDB42C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14.4.2 最终结清证书和支付</w:t>
      </w:r>
    </w:p>
    <w:p w14:paraId="19D1AB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（1）发包人完成最终结清申请单的审批并颁发最终结清证书的期限：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按通用条款执行 </w:t>
      </w:r>
      <w:r>
        <w:rPr>
          <w:rFonts w:hint="eastAsia" w:ascii="宋体" w:hAnsi="宋体" w:eastAsia="宋体" w:cs="宋体"/>
          <w:color w:val="000000" w:themeColor="text1"/>
          <w:sz w:val="22"/>
          <w:szCs w:val="22"/>
          <w:highlight w:val="none"/>
          <w14:textFill>
            <w14:solidFill>
              <w14:schemeClr w14:val="tx1"/>
            </w14:solidFill>
          </w14:textFill>
        </w:rPr>
        <w:t>。</w:t>
      </w:r>
    </w:p>
    <w:p w14:paraId="51F25B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（2）发包人完成支付的期限：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04"/>
    <w:bookmarkEnd w:id="505"/>
    <w:bookmarkEnd w:id="506"/>
    <w:bookmarkEnd w:id="507"/>
    <w:bookmarkEnd w:id="508"/>
    <w:bookmarkEnd w:id="509"/>
    <w:bookmarkEnd w:id="510"/>
    <w:bookmarkEnd w:id="516"/>
    <w:p w14:paraId="026FEF4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8" w:name="_Toc351203647"/>
      <w:bookmarkStart w:id="519" w:name="_Toc267251483"/>
      <w:bookmarkStart w:id="520" w:name="_Toc267251484"/>
      <w:bookmarkStart w:id="521" w:name="_Toc267251482"/>
      <w:bookmarkStart w:id="522" w:name="_Toc267251485"/>
      <w:bookmarkStart w:id="523" w:name="_Toc267251486"/>
      <w:bookmarkStart w:id="524" w:name="_Toc267251488"/>
      <w:bookmarkStart w:id="525" w:name="_Toc267251490"/>
      <w:bookmarkStart w:id="526" w:name="_Toc267251489"/>
      <w:bookmarkStart w:id="527" w:name="_Toc267251494"/>
      <w:bookmarkStart w:id="528" w:name="_Toc267251503"/>
      <w:bookmarkStart w:id="529" w:name="_Toc267251493"/>
      <w:bookmarkStart w:id="530" w:name="_Toc267251499"/>
      <w:bookmarkStart w:id="531" w:name="_Toc267251492"/>
      <w:bookmarkStart w:id="532" w:name="_Toc267251497"/>
      <w:bookmarkStart w:id="533" w:name="_Toc267251502"/>
      <w:bookmarkStart w:id="534" w:name="_Toc267251498"/>
      <w:bookmarkStart w:id="535" w:name="_Toc267251495"/>
      <w:bookmarkStart w:id="536" w:name="_Toc267251501"/>
      <w:bookmarkStart w:id="537" w:name="_Toc267251496"/>
      <w:bookmarkStart w:id="538" w:name="_Toc267251491"/>
      <w:bookmarkStart w:id="539" w:name="_Toc267251506"/>
      <w:bookmarkStart w:id="540" w:name="_Toc267251504"/>
      <w:bookmarkStart w:id="541" w:name="_Toc267251507"/>
      <w:bookmarkStart w:id="542" w:name="_Toc267251508"/>
      <w:bookmarkStart w:id="543" w:name="_Toc267251509"/>
      <w:bookmarkStart w:id="544" w:name="_Toc267251515"/>
      <w:bookmarkStart w:id="545" w:name="_Toc267251513"/>
      <w:bookmarkStart w:id="546" w:name="_Toc267251514"/>
      <w:bookmarkStart w:id="547" w:name="_Toc267251510"/>
      <w:bookmarkStart w:id="548" w:name="_Toc267251511"/>
      <w:r>
        <w:rPr>
          <w:rFonts w:hint="eastAsia" w:ascii="宋体" w:hAnsi="宋体" w:eastAsia="宋体" w:cs="宋体"/>
          <w:color w:val="000000" w:themeColor="text1"/>
          <w:sz w:val="22"/>
          <w:szCs w:val="22"/>
          <w:highlight w:val="none"/>
          <w14:textFill>
            <w14:solidFill>
              <w14:schemeClr w14:val="tx1"/>
            </w14:solidFill>
          </w14:textFill>
        </w:rPr>
        <w:t>15. 缺陷责任期与保修</w:t>
      </w:r>
      <w:bookmarkEnd w:id="518"/>
    </w:p>
    <w:p w14:paraId="13E350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15.2缺陷责任期</w:t>
      </w:r>
      <w:bookmarkEnd w:id="519"/>
    </w:p>
    <w:p w14:paraId="002817F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缺陷责任期的具体期限：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24个月  </w:t>
      </w:r>
      <w:r>
        <w:rPr>
          <w:rFonts w:hint="eastAsia" w:ascii="宋体" w:hAnsi="宋体" w:eastAsia="宋体" w:cs="宋体"/>
          <w:color w:val="000000" w:themeColor="text1"/>
          <w:sz w:val="22"/>
          <w:szCs w:val="22"/>
          <w:highlight w:val="none"/>
          <w14:textFill>
            <w14:solidFill>
              <w14:schemeClr w14:val="tx1"/>
            </w14:solidFill>
          </w14:textFill>
        </w:rPr>
        <w:t>。</w:t>
      </w:r>
    </w:p>
    <w:p w14:paraId="6637189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 质量保证金</w:t>
      </w:r>
    </w:p>
    <w:p w14:paraId="667A7CF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关于是否扣留质量保证金的约定：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。在工程项目竣工前，承包人按专用合同条款第3.7条提供履约担保的，发包人不得同时预留工程质量保证金。</w:t>
      </w:r>
    </w:p>
    <w:p w14:paraId="7DB4DD5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15.3.1 承包人提供质量保证金的方式</w:t>
      </w:r>
    </w:p>
    <w:p w14:paraId="1EEE00D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095C287A">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（1）质量保证金保函，保证金额为：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7FCAEF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w:t>
      </w:r>
      <w:r>
        <w:rPr>
          <w:rFonts w:hint="eastAsia" w:ascii="宋体" w:hAnsi="宋体" w:eastAsia="宋体" w:cs="宋体"/>
          <w:color w:val="000000" w:themeColor="text1"/>
          <w:sz w:val="22"/>
          <w:szCs w:val="22"/>
          <w:highlight w:val="none"/>
          <w14:textFill>
            <w14:solidFill>
              <w14:schemeClr w14:val="tx1"/>
            </w14:solidFill>
          </w14:textFill>
        </w:rPr>
        <w:t>%的工程款；</w:t>
      </w:r>
    </w:p>
    <w:p w14:paraId="46D5430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BFEA90B">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15.3.2 质量保证金的扣留 </w:t>
      </w:r>
    </w:p>
    <w:p w14:paraId="71EEC6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质量保证金的扣留采取以下第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30795E3B">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（1）在支付工程进度款时逐次扣留，在此情形下，质量保证金的计算基数不包括预付款的支付、扣回以及价格调整的金额；</w:t>
      </w:r>
    </w:p>
    <w:p w14:paraId="3BE98A1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（2）工程竣工结算时一次性扣留质量保证金；</w:t>
      </w:r>
    </w:p>
    <w:p w14:paraId="7CBBD45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（3）其他扣留方式: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752D7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关于质量保证金的补充约定：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在缺陷责任期内，因承包人原因造成工程缺陷、损坏的，承包人未能及时修复的，发包人可直接委托第三方修复，所需费用由承包人承担，缺陷责任期满将剩余部分退还承包人  </w:t>
      </w:r>
      <w:r>
        <w:rPr>
          <w:rFonts w:hint="eastAsia" w:ascii="宋体" w:hAnsi="宋体" w:eastAsia="宋体" w:cs="宋体"/>
          <w:color w:val="000000" w:themeColor="text1"/>
          <w:sz w:val="22"/>
          <w:szCs w:val="22"/>
          <w:highlight w:val="none"/>
          <w14:textFill>
            <w14:solidFill>
              <w14:schemeClr w14:val="tx1"/>
            </w14:solidFill>
          </w14:textFill>
        </w:rPr>
        <w:t>。</w:t>
      </w:r>
    </w:p>
    <w:bookmarkEnd w:id="520"/>
    <w:bookmarkEnd w:id="521"/>
    <w:p w14:paraId="262741E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15.4保修</w:t>
      </w:r>
    </w:p>
    <w:bookmarkEnd w:id="522"/>
    <w:p w14:paraId="55672487">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15.4.1 保修责任</w:t>
      </w:r>
    </w:p>
    <w:p w14:paraId="583B3E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工程保修期为：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按国家相关规定 </w:t>
      </w:r>
      <w:r>
        <w:rPr>
          <w:rFonts w:hint="eastAsia" w:ascii="宋体" w:hAnsi="宋体" w:eastAsia="宋体" w:cs="宋体"/>
          <w:color w:val="000000" w:themeColor="text1"/>
          <w:sz w:val="22"/>
          <w:szCs w:val="22"/>
          <w:highlight w:val="none"/>
          <w14:textFill>
            <w14:solidFill>
              <w14:schemeClr w14:val="tx1"/>
            </w14:solidFill>
          </w14:textFill>
        </w:rPr>
        <w:t>。</w:t>
      </w:r>
    </w:p>
    <w:p w14:paraId="39EBD365">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15.4.3 修复通知</w:t>
      </w:r>
    </w:p>
    <w:p w14:paraId="5B1AC7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承包人收到保修通知并到达工程现场的合理时间：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1、属于保修范围、内容的项目，承包人应当在接到保修通知之日起 1 天内派人保修。承包人不在约定期限内派人保修的，发包人可以委托他人修理。2、发生紧急抢修事故的，承包人在接到事故通知后，应当立即到达事故现场抢修；承包人不按时派人保修的，发包人可以委托他人修理，所发生的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bookmarkEnd w:id="523"/>
    <w:bookmarkEnd w:id="524"/>
    <w:bookmarkEnd w:id="525"/>
    <w:bookmarkEnd w:id="526"/>
    <w:p w14:paraId="670AB531">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49" w:name="_Toc351203648"/>
      <w:bookmarkStart w:id="550" w:name="_Toc280868717"/>
      <w:bookmarkStart w:id="551" w:name="_Toc280868718"/>
      <w:r>
        <w:rPr>
          <w:rFonts w:hint="eastAsia" w:ascii="宋体" w:hAnsi="宋体" w:eastAsia="宋体" w:cs="宋体"/>
          <w:color w:val="000000" w:themeColor="text1"/>
          <w:sz w:val="22"/>
          <w:szCs w:val="22"/>
          <w:highlight w:val="none"/>
          <w14:textFill>
            <w14:solidFill>
              <w14:schemeClr w14:val="tx1"/>
            </w14:solidFill>
          </w14:textFill>
        </w:rPr>
        <w:t>16. 违约</w:t>
      </w:r>
      <w:bookmarkEnd w:id="549"/>
    </w:p>
    <w:p w14:paraId="720B83A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发包人违约</w:t>
      </w:r>
    </w:p>
    <w:p w14:paraId="126285D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16.1.1发包人违约的情形</w:t>
      </w:r>
    </w:p>
    <w:p w14:paraId="662BB1B5">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25148601">
      <w:pPr>
        <w:pageBreakBefore w:val="0"/>
        <w:kinsoku/>
        <w:wordWrap/>
        <w:overflowPunct/>
        <w:topLinePunct w:val="0"/>
        <w:bidi w:val="0"/>
        <w:snapToGrid/>
        <w:spacing w:line="400" w:lineRule="exact"/>
        <w:ind w:left="1100" w:hanging="1100" w:hangingChars="5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16.1.2 发包人违约的责任</w:t>
      </w:r>
    </w:p>
    <w:p w14:paraId="33F2D18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发包人违约责任的承担方式和计算方法：</w:t>
      </w:r>
    </w:p>
    <w:p w14:paraId="48F7229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（1）因发包人原因未能在计划开工日期前7天内下达开工通知的违约责任：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6BC72F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（2）因发包人原因未能按合同约定支付合同价款的违约责任：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发包人在工程实施过程中不能按照合同文件中约定的付款时间进行付款，中标的承包人应及时向发包人发出要求付款的通知，发包人收到承包人通知后仍不能按要求付款，可与承包人协商签订延期付款协议，协议应明确延期支付的时间和从工程量计量结果确认后第15天起计算应付款的利息，利息按同期人民银行贷款利息计算  </w:t>
      </w:r>
      <w:r>
        <w:rPr>
          <w:rFonts w:hint="eastAsia" w:ascii="宋体" w:hAnsi="宋体" w:eastAsia="宋体" w:cs="宋体"/>
          <w:color w:val="000000" w:themeColor="text1"/>
          <w:sz w:val="22"/>
          <w:szCs w:val="22"/>
          <w:highlight w:val="none"/>
          <w14:textFill>
            <w14:solidFill>
              <w14:schemeClr w14:val="tx1"/>
            </w14:solidFill>
          </w14:textFill>
        </w:rPr>
        <w:t>。</w:t>
      </w:r>
    </w:p>
    <w:p w14:paraId="715F16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（3）发包人违反第10.1款〔变更的范围〕第（2）项约定，自行实施被取消的工作或转由他人实施的违约责任：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5C87F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1115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（5）因发包人违反合同约定造成暂停施工的违约责任：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53BFE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（6）发包人无正当理由没有在约定期限内发出复工指示，导致承包人无法复工的违约责任：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4AEC5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509C0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上述（1）-（7）应作具体明确</w:t>
      </w:r>
    </w:p>
    <w:p w14:paraId="0F7A9C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16.1.3 因发包人违约解除合同</w:t>
      </w:r>
    </w:p>
    <w:p w14:paraId="7B8B75B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承包人按16.1.1项〔发包人违约的情形〕约定暂停施工满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天后发包人仍不纠正其违约行为并致使合同目的不能实现的，承包人有权解除合同。</w:t>
      </w:r>
    </w:p>
    <w:p w14:paraId="63DD25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 承包人违约</w:t>
      </w:r>
    </w:p>
    <w:p w14:paraId="5A0615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16.2.1 承包人违约的情形</w:t>
      </w:r>
    </w:p>
    <w:p w14:paraId="291100C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承包人违约的其他情形：</w:t>
      </w:r>
    </w:p>
    <w:p w14:paraId="77035C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本项目开工时间以发包人和监理工程师批准的开工报告日期为准。如遇特殊情况推迟开工，合同工期相应顺延。承包人应按照投标文件承诺的工期确保工程验收，不得以任何借口停工怠工。如因承包人原因延误工期的，承包人应承担违约责任，按每拖延一天向发包人支付2000元的违约金，此违约金在履约保证金中扣除。如因不可抗力或发包人原因造成工期延误的，工期相应顺延，但承包人必须有发包人的书面签证作为依据，否则视为承包人延期处理。如因发包人原因并且符合工程工期顺延的情况，经监理和发包人签证确认后顺延。</w:t>
      </w:r>
    </w:p>
    <w:p w14:paraId="1823A21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中标后，承包人应重新编制详细的工程施工进度计划报发包人批准。承包人严格按照经发包人批准的施工计划组织工程施工。接受发包人对进度的检查、监督，工程实际进度与经确认的进度计划不符时，承包人应按发包人的要求提出书面改进措施方案，并经发包人确认后执行。因承包人的原因导致实际进度与进度计划不符，承包人无权就改进措施提出追加合同价款。</w:t>
      </w:r>
    </w:p>
    <w:p w14:paraId="047146C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 承包人应当按照开工令的开工日期开工。承包人不能按时开工，应当不迟于合同约定的开工日期前7天，以书面形式向发包人提出延期开工的理由和要求。发包人应当在接到延期开工申请后的48小时内以书面形式答复承包人，发包人在接到延期开工申请后的48小时内不答复，视为同意承包人的要求，工期相应顺延。发包人不同意延期要求或承包人未在规定时间内提出延期开工要求，工期不予顺延。</w:t>
      </w:r>
    </w:p>
    <w:p w14:paraId="17A240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承包人施工时必须服从发包人和监理工程师对施工场地和施工时间的统一管理。与相关施工单位密切配合决不扯皮，如有问题以发包人意见为准，如不服从根据实际情况每次罚款叁仟元，如造成工期延误的，视为承包人违约，并按照合同约定承担逾期违约责任。承包人应充分考虑施工环境、施工部位和施工季节的特殊性，在应遵守地方政府规定的前提下确保工期和质量，自行处理各方关系，费用自理。</w:t>
      </w:r>
    </w:p>
    <w:p w14:paraId="4CD6B7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因承包方原因，工程在中间交验过程中，不能达到招标和合同要求（工期、质量），累计拖延工期达一个月以上，且承包人拿不出让发包人满意的追赶工期计划，承包人除承担违约责任外，发包人有权拒付（缓付）工程款，并酌情调整施工队伍直至清除出场，承包人承诺无条件服从并承担由此发生的一切费用和损失。</w:t>
      </w:r>
    </w:p>
    <w:p w14:paraId="3FB45CB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 如果一次性验收不合格，除按本合同约定规定实行处罚外，承包人必须无偿整改达到规定质量标准并承担由此造成的损失和费用。</w:t>
      </w:r>
    </w:p>
    <w:p w14:paraId="4A82B5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16.2.2承包人违约的责任</w:t>
      </w:r>
    </w:p>
    <w:p w14:paraId="0F611BB8">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承包人违约责任的承担方式和计算方法：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由承包人承担全部责任并承担相关费用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3E24332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16.2.3 因承包人违约解除合同</w:t>
      </w:r>
    </w:p>
    <w:p w14:paraId="57130D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关于承包人违约解除合同的特别约定：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34F59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85351B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2" w:name="_Toc351203649"/>
      <w:r>
        <w:rPr>
          <w:rFonts w:hint="eastAsia" w:ascii="宋体" w:hAnsi="宋体" w:eastAsia="宋体" w:cs="宋体"/>
          <w:color w:val="000000" w:themeColor="text1"/>
          <w:sz w:val="22"/>
          <w:szCs w:val="22"/>
          <w:highlight w:val="none"/>
          <w14:textFill>
            <w14:solidFill>
              <w14:schemeClr w14:val="tx1"/>
            </w14:solidFill>
          </w14:textFill>
        </w:rPr>
        <w:t>17. 不可抗力</w:t>
      </w:r>
      <w:bookmarkEnd w:id="550"/>
      <w:bookmarkEnd w:id="552"/>
    </w:p>
    <w:p w14:paraId="45C857B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 不可抗力的确认</w:t>
      </w:r>
    </w:p>
    <w:p w14:paraId="51F41A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除通用合同条款约定的不可抗力事件之外，视为不可抗力的其他情形：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43E998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17.4 因不可抗力解除合同</w:t>
      </w:r>
    </w:p>
    <w:p w14:paraId="6A4F3AC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合同解除后，发包人应在商定或确定发包人应支付款项后</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30 </w:t>
      </w:r>
      <w:r>
        <w:rPr>
          <w:rFonts w:hint="eastAsia" w:ascii="宋体" w:hAnsi="宋体" w:eastAsia="宋体" w:cs="宋体"/>
          <w:color w:val="000000" w:themeColor="text1"/>
          <w:sz w:val="22"/>
          <w:szCs w:val="22"/>
          <w:highlight w:val="none"/>
          <w14:textFill>
            <w14:solidFill>
              <w14:schemeClr w14:val="tx1"/>
            </w14:solidFill>
          </w14:textFill>
        </w:rPr>
        <w:t>天内完成款项的支付。</w:t>
      </w:r>
    </w:p>
    <w:p w14:paraId="71EC254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3" w:name="_Toc351203650"/>
      <w:r>
        <w:rPr>
          <w:rFonts w:hint="eastAsia" w:ascii="宋体" w:hAnsi="宋体" w:eastAsia="宋体" w:cs="宋体"/>
          <w:color w:val="000000" w:themeColor="text1"/>
          <w:sz w:val="22"/>
          <w:szCs w:val="22"/>
          <w:highlight w:val="none"/>
          <w14:textFill>
            <w14:solidFill>
              <w14:schemeClr w14:val="tx1"/>
            </w14:solidFill>
          </w14:textFill>
        </w:rPr>
        <w:t>18. 保险</w:t>
      </w:r>
      <w:bookmarkEnd w:id="553"/>
    </w:p>
    <w:bookmarkEnd w:id="551"/>
    <w:p w14:paraId="7D14CA1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18.1 工程保险</w:t>
      </w:r>
    </w:p>
    <w:p w14:paraId="287C35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关于工程保险的特别约定：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A4792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18.3 其他保险</w:t>
      </w:r>
    </w:p>
    <w:p w14:paraId="5452A8F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关于其他保险的约定：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3BB74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承包人是否应为其施工设备等办理财产保险：</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46AEE7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18.7 通知义务</w:t>
      </w:r>
    </w:p>
    <w:p w14:paraId="387B8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关于变更保险合同时的通知义务的约定：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27"/>
    <w:bookmarkEnd w:id="528"/>
    <w:bookmarkEnd w:id="529"/>
    <w:bookmarkEnd w:id="530"/>
    <w:bookmarkEnd w:id="531"/>
    <w:bookmarkEnd w:id="532"/>
    <w:bookmarkEnd w:id="533"/>
    <w:bookmarkEnd w:id="534"/>
    <w:bookmarkEnd w:id="535"/>
    <w:bookmarkEnd w:id="536"/>
    <w:bookmarkEnd w:id="537"/>
    <w:bookmarkEnd w:id="538"/>
    <w:p w14:paraId="0680D47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4" w:name="_Toc351203651"/>
      <w:r>
        <w:rPr>
          <w:rFonts w:hint="eastAsia" w:ascii="宋体" w:hAnsi="宋体" w:eastAsia="宋体" w:cs="宋体"/>
          <w:color w:val="000000" w:themeColor="text1"/>
          <w:sz w:val="22"/>
          <w:szCs w:val="22"/>
          <w:highlight w:val="none"/>
          <w14:textFill>
            <w14:solidFill>
              <w14:schemeClr w14:val="tx1"/>
            </w14:solidFill>
          </w14:textFill>
        </w:rPr>
        <w:t>20. 争议解决</w:t>
      </w:r>
      <w:bookmarkEnd w:id="554"/>
    </w:p>
    <w:bookmarkEnd w:id="539"/>
    <w:bookmarkEnd w:id="540"/>
    <w:p w14:paraId="50AD753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 争</w:t>
      </w:r>
      <w:bookmarkEnd w:id="541"/>
      <w:r>
        <w:rPr>
          <w:rFonts w:hint="eastAsia" w:ascii="宋体" w:hAnsi="宋体" w:eastAsia="宋体" w:cs="宋体"/>
          <w:color w:val="000000" w:themeColor="text1"/>
          <w:sz w:val="22"/>
          <w:szCs w:val="22"/>
          <w:highlight w:val="none"/>
          <w14:textFill>
            <w14:solidFill>
              <w14:schemeClr w14:val="tx1"/>
            </w14:solidFill>
          </w14:textFill>
        </w:rPr>
        <w:t>议评审</w:t>
      </w:r>
    </w:p>
    <w:p w14:paraId="70E677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合同当事人是否同意将工程争议提交争议评审小组决定：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57D63B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20.3.1 争议评审小组的确定</w:t>
      </w:r>
    </w:p>
    <w:p w14:paraId="5F4B152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CD558B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选定争议评审员的期限：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4E6E29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争议评审小组成员的报酬承担方式：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C23B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F6F5D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20.3.2 争议评审小组的决定</w:t>
      </w:r>
    </w:p>
    <w:p w14:paraId="178E8F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合同当事人关于本项的约定：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D096A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20.4仲裁或诉讼</w:t>
      </w:r>
      <w:bookmarkEnd w:id="542"/>
    </w:p>
    <w:p w14:paraId="008631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因合同及合同有关事项发生的争议，按下列第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种方式解决：</w:t>
      </w:r>
    </w:p>
    <w:p w14:paraId="34F3C9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仲裁委员会申请仲裁；</w:t>
      </w:r>
    </w:p>
    <w:p w14:paraId="2EDF4D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工程所在地     </w:t>
      </w:r>
      <w:r>
        <w:rPr>
          <w:rFonts w:hint="eastAsia" w:ascii="宋体" w:hAnsi="宋体" w:eastAsia="宋体" w:cs="宋体"/>
          <w:color w:val="000000" w:themeColor="text1"/>
          <w:sz w:val="22"/>
          <w:szCs w:val="22"/>
          <w:highlight w:val="none"/>
          <w14:textFill>
            <w14:solidFill>
              <w14:schemeClr w14:val="tx1"/>
            </w14:solidFill>
          </w14:textFill>
        </w:rPr>
        <w:t>人民法院起诉。</w:t>
      </w:r>
      <w:bookmarkEnd w:id="543"/>
      <w:bookmarkEnd w:id="544"/>
      <w:bookmarkEnd w:id="545"/>
      <w:bookmarkEnd w:id="546"/>
      <w:bookmarkEnd w:id="547"/>
      <w:bookmarkEnd w:id="548"/>
    </w:p>
    <w:p w14:paraId="3DF53284">
      <w:pPr>
        <w:spacing w:line="44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br w:type="page"/>
      </w:r>
    </w:p>
    <w:p w14:paraId="29B05FE0">
      <w:pPr>
        <w:spacing w:before="145" w:beforeLines="50" w:after="145" w:afterLines="50" w:line="440" w:lineRule="exact"/>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工程质量保修书</w:t>
      </w:r>
    </w:p>
    <w:p w14:paraId="67A5A4A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发包人（全称）：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江苏省盐城市响水县大有镇淮河村村民委员会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1045D09A">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承包人（全称）：</w:t>
      </w:r>
    </w:p>
    <w:p w14:paraId="56BBABD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发包人和承包人根据《中华人民共和国建筑法》和《建设工程质量管理条例》，经协商一致就</w:t>
      </w:r>
      <w:r>
        <w:rPr>
          <w:rFonts w:hint="eastAsia" w:ascii="宋体" w:hAnsi="宋体" w:eastAsia="宋体" w:cs="宋体"/>
          <w:color w:val="000000" w:themeColor="text1"/>
          <w:sz w:val="22"/>
          <w:szCs w:val="22"/>
          <w:highlight w:val="none"/>
          <w:lang w:eastAsia="zh-CN"/>
          <w14:textFill>
            <w14:solidFill>
              <w14:schemeClr w14:val="tx1"/>
            </w14:solidFill>
          </w14:textFill>
        </w:rPr>
        <w:t>响水县2024年大有镇淮河村宜居宜业和美乡村新增建设项目</w:t>
      </w:r>
      <w:r>
        <w:rPr>
          <w:rFonts w:hint="eastAsia" w:ascii="宋体" w:hAnsi="宋体" w:eastAsia="宋体" w:cs="宋体"/>
          <w:color w:val="000000" w:themeColor="text1"/>
          <w:sz w:val="22"/>
          <w:szCs w:val="22"/>
          <w:highlight w:val="none"/>
          <w14:textFill>
            <w14:solidFill>
              <w14:schemeClr w14:val="tx1"/>
            </w14:solidFill>
          </w14:textFill>
        </w:rPr>
        <w:t>签订工程质量保修书。</w:t>
      </w:r>
    </w:p>
    <w:p w14:paraId="4BF5C3DC">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一、工程质量保修范围和内容</w:t>
      </w:r>
    </w:p>
    <w:p w14:paraId="7580858C">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承包人在质量保修期内，按照有关法律规定和合同约定，承担工程质量保修责任。</w:t>
      </w:r>
    </w:p>
    <w:p w14:paraId="500FDC58">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766B6DB">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按《建设工程质量管理条例》等法律法规规定执行。从该工程交工验收合格之日起至该工程约定保修期满之日止为保修期内。保修期内若因承包人施工责任引起的质量缺陷，承包人应在本保修书约定期限内派人到场保修，并承担保修责任及保修费用；承包人若不能在约定期限内派人到场保修的，可委托发包人委托他人保修，保修费用从发包人暂留的承包人质量保证金中扣除 </w:t>
      </w:r>
      <w:r>
        <w:rPr>
          <w:rFonts w:hint="eastAsia" w:ascii="宋体" w:hAnsi="宋体" w:eastAsia="宋体" w:cs="宋体"/>
          <w:color w:val="000000" w:themeColor="text1"/>
          <w:sz w:val="22"/>
          <w:szCs w:val="22"/>
          <w:highlight w:val="none"/>
          <w14:textFill>
            <w14:solidFill>
              <w14:schemeClr w14:val="tx1"/>
            </w14:solidFill>
          </w14:textFill>
        </w:rPr>
        <w:t>。</w:t>
      </w:r>
    </w:p>
    <w:p w14:paraId="42DF9127">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二、质量保修期</w:t>
      </w:r>
    </w:p>
    <w:p w14:paraId="29B7D93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根据《建设工程质量管理条例》及有关规定，工程的质量保修期如下：</w:t>
      </w:r>
    </w:p>
    <w:p w14:paraId="296F8DC4">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1．地基基础工程和主体结构工程为设计文件规定的工程合理使用年限；</w:t>
      </w:r>
    </w:p>
    <w:p w14:paraId="3BE400F6">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2．屋面防水工程、有防水要求的卫生间、房间和外墙面的防渗为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5    </w:t>
      </w:r>
      <w:r>
        <w:rPr>
          <w:rFonts w:hint="eastAsia" w:ascii="宋体" w:hAnsi="宋体" w:eastAsia="宋体" w:cs="宋体"/>
          <w:color w:val="000000" w:themeColor="text1"/>
          <w:sz w:val="22"/>
          <w:szCs w:val="22"/>
          <w:highlight w:val="none"/>
          <w14:textFill>
            <w14:solidFill>
              <w14:schemeClr w14:val="tx1"/>
            </w14:solidFill>
          </w14:textFill>
        </w:rPr>
        <w:t>年；</w:t>
      </w:r>
    </w:p>
    <w:p w14:paraId="5E9739A5">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3．装修工程为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BB2C76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4．电气管线、给排水管道、设备安装工程为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5454B80">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5．供热与供冷系统为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个采暖期、供冷期；</w:t>
      </w:r>
    </w:p>
    <w:p w14:paraId="70F47DCC">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6．住宅小区内的给排水设施、道路等配套工程为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25BCA82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7．其他项目保修期限约定如下：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51D0242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质量保修期自工程竣工验收合格之日起计算。</w:t>
      </w:r>
    </w:p>
    <w:p w14:paraId="5ADCDD75">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三、缺陷责任期</w:t>
      </w:r>
    </w:p>
    <w:p w14:paraId="3335C7BD">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工程缺陷责任期为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个月，缺陷责任期自工程通过竣工验收之日起计算。单位工程先于全部工程进行验收，单位工程缺陷责任期自单位工程验收合格之日起算。</w:t>
      </w:r>
    </w:p>
    <w:p w14:paraId="1AC9D54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缺陷责任期终止后，发包人应退还剩余的质量保证金。</w:t>
      </w:r>
    </w:p>
    <w:p w14:paraId="2309372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四、质量保修责任</w:t>
      </w:r>
    </w:p>
    <w:p w14:paraId="01314FF6">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1．属于保修范围、内容的项目，承包人应当在接到保修通知之日起7天内派人保修。承包人不在约定期限内派人保修的，发包人可以委托他人修理。</w:t>
      </w:r>
    </w:p>
    <w:p w14:paraId="3F755A4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2．发生紧急事故需抢修的，承包人在接到事故通知后，应当立即到达事故现场抢修。</w:t>
      </w:r>
    </w:p>
    <w:p w14:paraId="7B79AC6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BFD789E">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4．质量保修完成后，由发包人组织验收。</w:t>
      </w:r>
    </w:p>
    <w:p w14:paraId="418B004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五、保修费用</w:t>
      </w:r>
    </w:p>
    <w:p w14:paraId="032FDFC3">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保修费用由造成质量缺陷的责任方承担。</w:t>
      </w:r>
    </w:p>
    <w:p w14:paraId="7E5B4972">
      <w:pPr>
        <w:spacing w:line="480" w:lineRule="exact"/>
        <w:ind w:firstLine="442"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六</w:t>
      </w:r>
      <w:r>
        <w:rPr>
          <w:rFonts w:hint="eastAsia" w:ascii="宋体" w:hAnsi="宋体" w:eastAsia="宋体" w:cs="宋体"/>
          <w:color w:val="000000" w:themeColor="text1"/>
          <w:sz w:val="22"/>
          <w:szCs w:val="22"/>
          <w:highlight w:val="none"/>
          <w14:textFill>
            <w14:solidFill>
              <w14:schemeClr w14:val="tx1"/>
            </w14:solidFill>
          </w14:textFill>
        </w:rPr>
        <w:t>、双方约定的其他工程质量保修事项：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0C8FDF1">
      <w:pPr>
        <w:spacing w:line="480" w:lineRule="exact"/>
        <w:ind w:firstLine="418" w:firstLineChars="19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工程质量保修书由发包人、承包人在工程竣工验收前共同签署，作为施工合同附件，其有效期限至保修期满。</w:t>
      </w:r>
    </w:p>
    <w:p w14:paraId="798F8595">
      <w:pPr>
        <w:spacing w:line="480" w:lineRule="exact"/>
        <w:ind w:firstLine="420"/>
        <w:rPr>
          <w:rFonts w:hint="eastAsia" w:ascii="宋体" w:hAnsi="宋体" w:eastAsia="宋体" w:cs="宋体"/>
          <w:color w:val="000000" w:themeColor="text1"/>
          <w:sz w:val="22"/>
          <w:szCs w:val="22"/>
          <w:highlight w:val="none"/>
          <w14:textFill>
            <w14:solidFill>
              <w14:schemeClr w14:val="tx1"/>
            </w14:solidFill>
          </w14:textFill>
        </w:rPr>
      </w:pPr>
    </w:p>
    <w:p w14:paraId="494B04B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承包人(公章)：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6617A49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64584D8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5812E43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30C6A3E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F4326B">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70FDF5C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51307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0C9DB651">
      <w:pPr>
        <w:snapToGrid w:val="0"/>
        <w:spacing w:line="500" w:lineRule="exact"/>
        <w:rPr>
          <w:rFonts w:hint="eastAsia" w:ascii="宋体" w:hAnsi="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25E2927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2FE9AD2">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17EBF16">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753FE0D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CD9A3C8">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797ABC48">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000000" w:themeColor="text1"/>
          <w:sz w:val="32"/>
          <w:szCs w:val="32"/>
          <w:highlight w:val="none"/>
          <w14:textFill>
            <w14:solidFill>
              <w14:schemeClr w14:val="tx1"/>
            </w14:solidFill>
          </w14:textFill>
        </w:rPr>
      </w:pPr>
      <w:bookmarkStart w:id="555" w:name="_Toc5616"/>
      <w:r>
        <w:rPr>
          <w:rFonts w:hint="eastAsia" w:ascii="宋体" w:hAnsi="宋体"/>
          <w:b/>
          <w:color w:val="000000" w:themeColor="text1"/>
          <w:sz w:val="32"/>
          <w:szCs w:val="32"/>
          <w:highlight w:val="none"/>
          <w14:textFill>
            <w14:solidFill>
              <w14:schemeClr w14:val="tx1"/>
            </w14:solidFill>
          </w14:textFill>
        </w:rPr>
        <w:t>第五章  工程量清单</w:t>
      </w:r>
      <w:bookmarkEnd w:id="555"/>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000000" w:themeColor="text1"/>
          <w:szCs w:val="21"/>
          <w:highlight w:val="none"/>
          <w14:textFill>
            <w14:solidFill>
              <w14:schemeClr w14:val="tx1"/>
            </w14:solidFill>
          </w14:textFill>
        </w:rPr>
      </w:pPr>
    </w:p>
    <w:p w14:paraId="720AA246">
      <w:pPr>
        <w:jc w:val="center"/>
        <w:outlineLvl w:val="0"/>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另附</w:t>
      </w:r>
    </w:p>
    <w:p w14:paraId="3855319B">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A706F9C">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095B2AB1">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2D00D17">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1B6D5B18">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778C1328">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06BDE6E">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FBC6E20">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7F271201">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20E43056">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4692FA0">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3351E14">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53D860E">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85A5B15">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A6375F2">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77450625">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05964102">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57A718A">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AB4D96F">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235B9F0C">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3B63F2DF">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F999AF2">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4F7BC6E7">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50E24A98">
      <w:pPr>
        <w:pStyle w:val="21"/>
        <w:rPr>
          <w:color w:val="000000" w:themeColor="text1"/>
          <w:highlight w:val="none"/>
          <w14:textFill>
            <w14:solidFill>
              <w14:schemeClr w14:val="tx1"/>
            </w14:solidFill>
          </w14:textFill>
        </w:rPr>
      </w:pPr>
    </w:p>
    <w:p w14:paraId="116DEA3E">
      <w:pPr>
        <w:spacing w:line="460" w:lineRule="exact"/>
        <w:ind w:left="-7" w:right="68"/>
        <w:jc w:val="center"/>
        <w:outlineLvl w:val="0"/>
        <w:rPr>
          <w:rFonts w:ascii="宋体" w:hAnsi="宋体" w:cs="宋体"/>
          <w:b/>
          <w:color w:val="000000" w:themeColor="text1"/>
          <w:sz w:val="36"/>
          <w:szCs w:val="36"/>
          <w:highlight w:val="none"/>
          <w14:textFill>
            <w14:solidFill>
              <w14:schemeClr w14:val="tx1"/>
            </w14:solidFill>
          </w14:textFill>
        </w:rPr>
      </w:pPr>
    </w:p>
    <w:p w14:paraId="6823C518">
      <w:pPr>
        <w:spacing w:line="460" w:lineRule="exact"/>
        <w:ind w:right="68"/>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第六章  投标文件格式</w:t>
      </w:r>
      <w:bookmarkEnd w:id="9"/>
    </w:p>
    <w:p w14:paraId="45209280">
      <w:pPr>
        <w:jc w:val="center"/>
        <w:rPr>
          <w:rFonts w:ascii="宋体" w:hAnsi="宋体"/>
          <w:b/>
          <w:color w:val="000000" w:themeColor="text1"/>
          <w:sz w:val="28"/>
          <w:szCs w:val="28"/>
          <w:highlight w:val="none"/>
          <w14:textFill>
            <w14:solidFill>
              <w14:schemeClr w14:val="tx1"/>
            </w14:solidFill>
          </w14:textFill>
        </w:rPr>
      </w:pPr>
    </w:p>
    <w:p w14:paraId="67219770">
      <w:pPr>
        <w:jc w:val="center"/>
        <w:outlineLvl w:val="1"/>
        <w:rPr>
          <w:rFonts w:ascii="宋体" w:hAnsi="宋体"/>
          <w:b/>
          <w:color w:val="000000" w:themeColor="text1"/>
          <w:sz w:val="28"/>
          <w:szCs w:val="28"/>
          <w:highlight w:val="none"/>
          <w14:textFill>
            <w14:solidFill>
              <w14:schemeClr w14:val="tx1"/>
            </w14:solidFill>
          </w14:textFill>
        </w:rPr>
      </w:pPr>
      <w:bookmarkStart w:id="556" w:name="_Toc15740"/>
      <w:r>
        <w:rPr>
          <w:rFonts w:hint="eastAsia" w:ascii="宋体" w:hAnsi="宋体"/>
          <w:b/>
          <w:color w:val="000000" w:themeColor="text1"/>
          <w:sz w:val="28"/>
          <w:szCs w:val="28"/>
          <w:highlight w:val="none"/>
          <w14:textFill>
            <w14:solidFill>
              <w14:schemeClr w14:val="tx1"/>
            </w14:solidFill>
          </w14:textFill>
        </w:rPr>
        <w:t>封面</w:t>
      </w:r>
      <w:bookmarkEnd w:id="556"/>
    </w:p>
    <w:p w14:paraId="343F6063">
      <w:pPr>
        <w:jc w:val="right"/>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正本（副本）</w:t>
      </w:r>
    </w:p>
    <w:p w14:paraId="6A90B1DE">
      <w:pPr>
        <w:jc w:val="center"/>
        <w:rPr>
          <w:rFonts w:ascii="宋体" w:hAnsi="宋体"/>
          <w:color w:val="000000" w:themeColor="text1"/>
          <w:sz w:val="30"/>
          <w:szCs w:val="30"/>
          <w:highlight w:val="none"/>
          <w14:textFill>
            <w14:solidFill>
              <w14:schemeClr w14:val="tx1"/>
            </w14:solidFill>
          </w14:textFill>
        </w:rPr>
      </w:pPr>
      <w:r>
        <w:rPr>
          <w:rFonts w:hint="eastAsia" w:ascii="宋体" w:hAnsi="宋体"/>
          <w:color w:val="000000" w:themeColor="text1"/>
          <w:sz w:val="30"/>
          <w:szCs w:val="30"/>
          <w:highlight w:val="none"/>
          <w14:textFill>
            <w14:solidFill>
              <w14:schemeClr w14:val="tx1"/>
            </w14:solidFill>
          </w14:textFill>
        </w:rPr>
        <w:t xml:space="preserve"> </w:t>
      </w:r>
    </w:p>
    <w:p w14:paraId="0A3292AC">
      <w:pPr>
        <w:jc w:val="center"/>
        <w:rPr>
          <w:rFonts w:ascii="宋体" w:hAnsi="宋体"/>
          <w:b/>
          <w:color w:val="000000" w:themeColor="text1"/>
          <w:sz w:val="30"/>
          <w:szCs w:val="30"/>
          <w:highlight w:val="none"/>
          <w14:textFill>
            <w14:solidFill>
              <w14:schemeClr w14:val="tx1"/>
            </w14:solidFill>
          </w14:textFill>
        </w:rPr>
      </w:pPr>
      <w:r>
        <w:rPr>
          <w:rFonts w:hint="eastAsia" w:ascii="宋体" w:hAnsi="宋体" w:cs="宋体"/>
          <w:b/>
          <w:color w:val="000000" w:themeColor="text1"/>
          <w:kern w:val="0"/>
          <w:sz w:val="32"/>
          <w:szCs w:val="32"/>
          <w:highlight w:val="none"/>
          <w:u w:val="single"/>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工程</w:t>
      </w:r>
    </w:p>
    <w:p w14:paraId="725AD179">
      <w:pPr>
        <w:jc w:val="center"/>
        <w:rPr>
          <w:rFonts w:hint="eastAsia" w:ascii="宋体" w:hAnsi="宋体"/>
          <w:color w:val="000000" w:themeColor="text1"/>
          <w:sz w:val="84"/>
          <w:szCs w:val="52"/>
          <w:highlight w:val="none"/>
          <w14:textFill>
            <w14:solidFill>
              <w14:schemeClr w14:val="tx1"/>
            </w14:solidFill>
          </w14:textFill>
        </w:rPr>
      </w:pPr>
    </w:p>
    <w:p w14:paraId="020F61C2">
      <w:pPr>
        <w:jc w:val="center"/>
        <w:rPr>
          <w:rFonts w:hint="eastAsia" w:ascii="宋体" w:hAnsi="宋体"/>
          <w:color w:val="000000" w:themeColor="text1"/>
          <w:sz w:val="84"/>
          <w:szCs w:val="52"/>
          <w:highlight w:val="none"/>
          <w14:textFill>
            <w14:solidFill>
              <w14:schemeClr w14:val="tx1"/>
            </w14:solidFill>
          </w14:textFill>
        </w:rPr>
      </w:pPr>
    </w:p>
    <w:p w14:paraId="4F72C376">
      <w:pPr>
        <w:pStyle w:val="21"/>
        <w:rPr>
          <w:rFonts w:hint="eastAsia"/>
          <w:color w:val="000000" w:themeColor="text1"/>
          <w:highlight w:val="none"/>
          <w14:textFill>
            <w14:solidFill>
              <w14:schemeClr w14:val="tx1"/>
            </w14:solidFill>
          </w14:textFill>
        </w:rPr>
      </w:pPr>
    </w:p>
    <w:p w14:paraId="2826247E">
      <w:pPr>
        <w:rPr>
          <w:rFonts w:hint="eastAsia"/>
          <w:color w:val="000000" w:themeColor="text1"/>
          <w:highlight w:val="none"/>
          <w14:textFill>
            <w14:solidFill>
              <w14:schemeClr w14:val="tx1"/>
            </w14:solidFill>
          </w14:textFill>
        </w:rPr>
      </w:pPr>
    </w:p>
    <w:p w14:paraId="7549A3CE">
      <w:pPr>
        <w:jc w:val="center"/>
        <w:rPr>
          <w:rFonts w:ascii="宋体" w:hAnsi="宋体"/>
          <w:color w:val="000000" w:themeColor="text1"/>
          <w:sz w:val="84"/>
          <w:szCs w:val="52"/>
          <w:highlight w:val="none"/>
          <w14:textFill>
            <w14:solidFill>
              <w14:schemeClr w14:val="tx1"/>
            </w14:solidFill>
          </w14:textFill>
        </w:rPr>
      </w:pPr>
      <w:r>
        <w:rPr>
          <w:rFonts w:hint="eastAsia" w:ascii="宋体" w:hAnsi="宋体"/>
          <w:color w:val="000000" w:themeColor="text1"/>
          <w:sz w:val="84"/>
          <w:szCs w:val="52"/>
          <w:highlight w:val="none"/>
          <w14:textFill>
            <w14:solidFill>
              <w14:schemeClr w14:val="tx1"/>
            </w14:solidFill>
          </w14:textFill>
        </w:rPr>
        <w:t>投 标 文 件</w:t>
      </w:r>
    </w:p>
    <w:p w14:paraId="35DD45B9">
      <w:pPr>
        <w:jc w:val="center"/>
        <w:rPr>
          <w:rFonts w:ascii="宋体" w:hAnsi="宋体"/>
          <w:color w:val="000000" w:themeColor="text1"/>
          <w:sz w:val="28"/>
          <w:szCs w:val="28"/>
          <w:highlight w:val="none"/>
          <w14:textFill>
            <w14:solidFill>
              <w14:schemeClr w14:val="tx1"/>
            </w14:solidFill>
          </w14:textFill>
        </w:rPr>
      </w:pPr>
    </w:p>
    <w:p w14:paraId="6720EE8D">
      <w:pPr>
        <w:jc w:val="center"/>
        <w:rPr>
          <w:rFonts w:ascii="宋体" w:hAnsi="宋体"/>
          <w:color w:val="000000" w:themeColor="text1"/>
          <w:sz w:val="28"/>
          <w:szCs w:val="28"/>
          <w:highlight w:val="none"/>
          <w14:textFill>
            <w14:solidFill>
              <w14:schemeClr w14:val="tx1"/>
            </w14:solidFill>
          </w14:textFill>
        </w:rPr>
      </w:pPr>
    </w:p>
    <w:p w14:paraId="7D49B794">
      <w:pPr>
        <w:spacing w:line="440" w:lineRule="exact"/>
        <w:rPr>
          <w:rFonts w:ascii="宋体" w:hAnsi="宋体"/>
          <w:color w:val="000000" w:themeColor="text1"/>
          <w:sz w:val="28"/>
          <w:szCs w:val="28"/>
          <w:highlight w:val="none"/>
          <w:u w:val="single"/>
          <w14:textFill>
            <w14:solidFill>
              <w14:schemeClr w14:val="tx1"/>
            </w14:solidFill>
          </w14:textFill>
        </w:rPr>
      </w:pPr>
    </w:p>
    <w:p w14:paraId="6B99E21D">
      <w:pPr>
        <w:spacing w:line="440" w:lineRule="exact"/>
        <w:rPr>
          <w:rFonts w:ascii="宋体" w:hAnsi="宋体"/>
          <w:color w:val="000000" w:themeColor="text1"/>
          <w:sz w:val="28"/>
          <w:szCs w:val="28"/>
          <w:highlight w:val="none"/>
          <w:u w:val="single"/>
          <w14:textFill>
            <w14:solidFill>
              <w14:schemeClr w14:val="tx1"/>
            </w14:solidFill>
          </w14:textFill>
        </w:rPr>
      </w:pPr>
    </w:p>
    <w:p w14:paraId="45225204">
      <w:pPr>
        <w:spacing w:line="440" w:lineRule="exact"/>
        <w:rPr>
          <w:rFonts w:ascii="宋体" w:hAnsi="宋体"/>
          <w:color w:val="000000" w:themeColor="text1"/>
          <w:sz w:val="28"/>
          <w:szCs w:val="28"/>
          <w:highlight w:val="none"/>
          <w:u w:val="single"/>
          <w14:textFill>
            <w14:solidFill>
              <w14:schemeClr w14:val="tx1"/>
            </w14:solidFill>
          </w14:textFill>
        </w:rPr>
      </w:pPr>
    </w:p>
    <w:p w14:paraId="5B53C993">
      <w:pPr>
        <w:pStyle w:val="21"/>
        <w:rPr>
          <w:rFonts w:ascii="宋体" w:hAnsi="宋体"/>
          <w:color w:val="000000" w:themeColor="text1"/>
          <w:sz w:val="28"/>
          <w:szCs w:val="28"/>
          <w:highlight w:val="none"/>
          <w:u w:val="single"/>
          <w14:textFill>
            <w14:solidFill>
              <w14:schemeClr w14:val="tx1"/>
            </w14:solidFill>
          </w14:textFill>
        </w:rPr>
      </w:pPr>
    </w:p>
    <w:p w14:paraId="21D3EDFF">
      <w:pPr>
        <w:rPr>
          <w:color w:val="000000" w:themeColor="text1"/>
          <w:highlight w:val="none"/>
          <w14:textFill>
            <w14:solidFill>
              <w14:schemeClr w14:val="tx1"/>
            </w14:solidFill>
          </w14:textFill>
        </w:rPr>
      </w:pPr>
    </w:p>
    <w:p w14:paraId="7E42BAF2">
      <w:pPr>
        <w:spacing w:line="440" w:lineRule="exact"/>
        <w:rPr>
          <w:rFonts w:ascii="宋体" w:hAnsi="宋体"/>
          <w:color w:val="000000" w:themeColor="text1"/>
          <w:sz w:val="28"/>
          <w:szCs w:val="28"/>
          <w:highlight w:val="none"/>
          <w:u w:val="single"/>
          <w14:textFill>
            <w14:solidFill>
              <w14:schemeClr w14:val="tx1"/>
            </w14:solidFill>
          </w14:textFill>
        </w:rPr>
      </w:pPr>
    </w:p>
    <w:p w14:paraId="2C79A030">
      <w:pPr>
        <w:rPr>
          <w:rFonts w:ascii="宋体" w:hAnsi="宋体"/>
          <w:color w:val="000000" w:themeColor="text1"/>
          <w:sz w:val="28"/>
          <w:szCs w:val="28"/>
          <w:highlight w:val="none"/>
          <w14:textFill>
            <w14:solidFill>
              <w14:schemeClr w14:val="tx1"/>
            </w14:solidFill>
          </w14:textFill>
        </w:rPr>
      </w:pPr>
    </w:p>
    <w:p w14:paraId="7C24D32B">
      <w:pPr>
        <w:spacing w:line="440" w:lineRule="exact"/>
        <w:jc w:val="both"/>
        <w:rPr>
          <w:rFonts w:hint="eastAsia" w:ascii="宋体" w:hAnsi="宋体"/>
          <w:color w:val="000000" w:themeColor="text1"/>
          <w:sz w:val="28"/>
          <w:szCs w:val="28"/>
          <w:highlight w:val="none"/>
          <w14:textFill>
            <w14:solidFill>
              <w14:schemeClr w14:val="tx1"/>
            </w14:solidFill>
          </w14:textFill>
        </w:rPr>
      </w:pPr>
    </w:p>
    <w:p w14:paraId="53EAE542">
      <w:pPr>
        <w:spacing w:line="440" w:lineRule="exact"/>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投标人：</w:t>
      </w:r>
      <w:r>
        <w:rPr>
          <w:rFonts w:hint="eastAsia" w:ascii="宋体" w:hAnsi="宋体"/>
          <w:color w:val="000000" w:themeColor="text1"/>
          <w:sz w:val="28"/>
          <w:szCs w:val="28"/>
          <w:highlight w:val="none"/>
          <w:u w:val="single"/>
          <w14:textFill>
            <w14:solidFill>
              <w14:schemeClr w14:val="tx1"/>
            </w14:solidFill>
          </w14:textFill>
        </w:rPr>
        <w:t xml:space="preserve">                      （盖章）</w:t>
      </w:r>
    </w:p>
    <w:p w14:paraId="6FA54B78">
      <w:pPr>
        <w:spacing w:line="440" w:lineRule="exact"/>
        <w:ind w:firstLine="1783" w:firstLineChars="637"/>
        <w:jc w:val="center"/>
        <w:rPr>
          <w:rFonts w:ascii="宋体" w:hAnsi="宋体"/>
          <w:color w:val="000000" w:themeColor="text1"/>
          <w:sz w:val="28"/>
          <w:szCs w:val="28"/>
          <w:highlight w:val="none"/>
          <w14:textFill>
            <w14:solidFill>
              <w14:schemeClr w14:val="tx1"/>
            </w14:solidFill>
          </w14:textFill>
        </w:rPr>
      </w:pPr>
    </w:p>
    <w:p w14:paraId="5A121078">
      <w:pPr>
        <w:spacing w:line="440" w:lineRule="exact"/>
        <w:jc w:val="center"/>
        <w:rPr>
          <w:rFonts w:ascii="宋体" w:hAnsi="宋体"/>
          <w:color w:val="000000" w:themeColor="text1"/>
          <w:sz w:val="28"/>
          <w:szCs w:val="28"/>
          <w:highlight w:val="none"/>
          <w:u w:val="single"/>
          <w14:textFill>
            <w14:solidFill>
              <w14:schemeClr w14:val="tx1"/>
            </w14:solidFill>
          </w14:textFill>
        </w:rPr>
      </w:pPr>
      <w:r>
        <w:rPr>
          <w:rFonts w:hint="eastAsia" w:ascii="宋体" w:hAnsi="宋体"/>
          <w:color w:val="000000" w:themeColor="text1"/>
          <w:sz w:val="28"/>
          <w:szCs w:val="28"/>
          <w:highlight w:val="none"/>
          <w:lang w:val="en-US" w:eastAsia="zh-CN"/>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法定代表人或其委托代理人：</w:t>
      </w:r>
      <w:r>
        <w:rPr>
          <w:rFonts w:hint="eastAsia" w:ascii="宋体" w:hAnsi="宋体"/>
          <w:color w:val="000000" w:themeColor="text1"/>
          <w:sz w:val="28"/>
          <w:szCs w:val="28"/>
          <w:highlight w:val="none"/>
          <w:u w:val="single"/>
          <w14:textFill>
            <w14:solidFill>
              <w14:schemeClr w14:val="tx1"/>
            </w14:solidFill>
          </w14:textFill>
        </w:rPr>
        <w:t xml:space="preserve">     （ 签字或盖章）</w:t>
      </w:r>
    </w:p>
    <w:p w14:paraId="30E0A6FD">
      <w:pPr>
        <w:ind w:firstLine="1783" w:firstLineChars="637"/>
        <w:jc w:val="center"/>
        <w:rPr>
          <w:rFonts w:ascii="宋体" w:hAnsi="宋体"/>
          <w:color w:val="000000" w:themeColor="text1"/>
          <w:sz w:val="28"/>
          <w:szCs w:val="28"/>
          <w:highlight w:val="none"/>
          <w14:textFill>
            <w14:solidFill>
              <w14:schemeClr w14:val="tx1"/>
            </w14:solidFill>
          </w14:textFill>
        </w:rPr>
      </w:pPr>
    </w:p>
    <w:p w14:paraId="62B5393C">
      <w:pPr>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日   期：</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年</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月</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日</w:t>
      </w:r>
    </w:p>
    <w:p w14:paraId="2E4B38F7">
      <w:pPr>
        <w:spacing w:line="460" w:lineRule="exact"/>
        <w:ind w:left="-7" w:right="68"/>
        <w:jc w:val="center"/>
        <w:rPr>
          <w:rFonts w:ascii="宋体" w:hAnsi="宋体"/>
          <w:b/>
          <w:bCs/>
          <w:color w:val="000000" w:themeColor="text1"/>
          <w:sz w:val="24"/>
          <w:highlight w:val="none"/>
          <w14:textFill>
            <w14:solidFill>
              <w14:schemeClr w14:val="tx1"/>
            </w14:solidFill>
          </w14:textFill>
        </w:rPr>
      </w:pPr>
    </w:p>
    <w:p w14:paraId="47840F07">
      <w:pPr>
        <w:spacing w:line="460" w:lineRule="exact"/>
        <w:ind w:left="-7" w:right="68"/>
        <w:jc w:val="center"/>
        <w:rPr>
          <w:rFonts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br w:type="page"/>
      </w:r>
    </w:p>
    <w:p w14:paraId="0D7FEA3F">
      <w:pPr>
        <w:spacing w:line="460" w:lineRule="exact"/>
        <w:ind w:left="-7" w:right="68"/>
        <w:jc w:val="center"/>
        <w:outlineLvl w:val="1"/>
        <w:rPr>
          <w:rFonts w:ascii="宋体" w:hAnsi="宋体"/>
          <w:color w:val="000000" w:themeColor="text1"/>
          <w:sz w:val="32"/>
          <w:szCs w:val="32"/>
          <w:highlight w:val="none"/>
          <w14:textFill>
            <w14:solidFill>
              <w14:schemeClr w14:val="tx1"/>
            </w14:solidFill>
          </w14:textFill>
        </w:rPr>
      </w:pPr>
      <w:bookmarkStart w:id="557" w:name="_Toc25219"/>
      <w:r>
        <w:rPr>
          <w:rFonts w:hint="eastAsia" w:ascii="宋体" w:hAnsi="宋体"/>
          <w:b/>
          <w:bCs/>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投标函</w:t>
      </w:r>
      <w:bookmarkEnd w:id="557"/>
    </w:p>
    <w:p w14:paraId="51D751B9">
      <w:pPr>
        <w:spacing w:line="360" w:lineRule="auto"/>
        <w:ind w:left="-7" w:right="68"/>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致</w:t>
      </w:r>
      <w:r>
        <w:rPr>
          <w:rFonts w:hint="eastAsia" w:ascii="宋体" w:hAnsi="宋体" w:cs="宋体"/>
          <w:color w:val="000000" w:themeColor="text1"/>
          <w:kern w:val="0"/>
          <w:sz w:val="24"/>
          <w:szCs w:val="24"/>
          <w:highlight w:val="none"/>
          <w:u w:val="single"/>
          <w14:textFill>
            <w14:solidFill>
              <w14:schemeClr w14:val="tx1"/>
            </w14:solidFill>
          </w14:textFill>
        </w:rPr>
        <w:t xml:space="preserve">   （招标人）</w:t>
      </w:r>
      <w:r>
        <w:rPr>
          <w:rFonts w:hint="eastAsia" w:ascii="宋体" w:hAnsi="宋体"/>
          <w:color w:val="000000" w:themeColor="text1"/>
          <w:sz w:val="24"/>
          <w:szCs w:val="24"/>
          <w:highlight w:val="none"/>
          <w14:textFill>
            <w14:solidFill>
              <w14:schemeClr w14:val="tx1"/>
            </w14:solidFill>
          </w14:textFill>
        </w:rPr>
        <w:t>：</w:t>
      </w:r>
    </w:p>
    <w:p w14:paraId="727643D6">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1、根据你方的</w:t>
      </w:r>
      <w:r>
        <w:rPr>
          <w:rFonts w:hint="eastAsia" w:ascii="宋体" w:hAnsi="宋体" w:cs="宋体"/>
          <w:color w:val="000000" w:themeColor="text1"/>
          <w:kern w:val="0"/>
          <w:sz w:val="24"/>
          <w:szCs w:val="24"/>
          <w:highlight w:val="none"/>
          <w:u w:val="single"/>
          <w14:textFill>
            <w14:solidFill>
              <w14:schemeClr w14:val="tx1"/>
            </w14:solidFill>
          </w14:textFill>
        </w:rPr>
        <w:t xml:space="preserve">  （项目名称）</w:t>
      </w:r>
      <w:r>
        <w:rPr>
          <w:rFonts w:hint="eastAsia" w:ascii="宋体" w:hAnsi="宋体" w:cs="宋体"/>
          <w:color w:val="000000" w:themeColor="text1"/>
          <w:kern w:val="0"/>
          <w:sz w:val="24"/>
          <w:szCs w:val="24"/>
          <w:highlight w:val="none"/>
          <w14:textFill>
            <w14:solidFill>
              <w14:schemeClr w14:val="tx1"/>
            </w14:solidFill>
          </w14:textFill>
        </w:rPr>
        <w:t>工程</w:t>
      </w:r>
      <w:r>
        <w:rPr>
          <w:rFonts w:hint="eastAsia" w:ascii="宋体" w:hAnsi="宋体"/>
          <w:color w:val="000000" w:themeColor="text1"/>
          <w:sz w:val="24"/>
          <w:szCs w:val="24"/>
          <w:highlight w:val="none"/>
          <w14:textFill>
            <w14:solidFill>
              <w14:schemeClr w14:val="tx1"/>
            </w14:solidFill>
          </w14:textFill>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元</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角</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分(小写￥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)的投标总价，工期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日历天，按合同约定实施和完成承包</w:t>
      </w:r>
      <w:r>
        <w:rPr>
          <w:rFonts w:hint="eastAsia" w:ascii="宋体" w:hAnsi="宋体" w:cs="宋体"/>
          <w:color w:val="000000" w:themeColor="text1"/>
          <w:kern w:val="0"/>
          <w:sz w:val="24"/>
          <w:szCs w:val="24"/>
          <w:highlight w:val="none"/>
          <w14:textFill>
            <w14:solidFill>
              <w14:schemeClr w14:val="tx1"/>
            </w14:solidFill>
          </w14:textFill>
        </w:rPr>
        <w:t>上述工</w:t>
      </w:r>
      <w:r>
        <w:rPr>
          <w:rFonts w:hint="eastAsia" w:ascii="宋体" w:hAnsi="宋体"/>
          <w:color w:val="000000" w:themeColor="text1"/>
          <w:sz w:val="24"/>
          <w:szCs w:val="24"/>
          <w:highlight w:val="none"/>
          <w14:textFill>
            <w14:solidFill>
              <w14:schemeClr w14:val="tx1"/>
            </w14:solidFill>
          </w14:textFill>
        </w:rPr>
        <w:t>程，</w:t>
      </w:r>
      <w:r>
        <w:rPr>
          <w:rFonts w:hint="eastAsia" w:ascii="宋体" w:hAnsi="宋体" w:cs="宋体"/>
          <w:color w:val="000000" w:themeColor="text1"/>
          <w:kern w:val="0"/>
          <w:sz w:val="24"/>
          <w:szCs w:val="24"/>
          <w:highlight w:val="none"/>
          <w14:textFill>
            <w14:solidFill>
              <w14:schemeClr w14:val="tx1"/>
            </w14:solidFill>
          </w14:textFill>
        </w:rPr>
        <w:t>质量达到</w:t>
      </w:r>
      <w:r>
        <w:rPr>
          <w:rFonts w:hint="eastAsia" w:ascii="宋体" w:hAnsi="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cs="宋体"/>
          <w:color w:val="000000" w:themeColor="text1"/>
          <w:kern w:val="0"/>
          <w:sz w:val="24"/>
          <w:szCs w:val="24"/>
          <w:highlight w:val="none"/>
          <w14:textFill>
            <w14:solidFill>
              <w14:schemeClr w14:val="tx1"/>
            </w14:solidFill>
          </w14:textFill>
        </w:rPr>
        <w:t>标准。</w:t>
      </w:r>
    </w:p>
    <w:p w14:paraId="1BF0FDE0">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2、我方保证我公司具有独立订立合同的能力，未处于财产被接管、冻结和破产状态。</w:t>
      </w:r>
    </w:p>
    <w:p w14:paraId="1C55CE62">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5、我方承诺在投标有效期内不修改、撤销投标文件。</w:t>
      </w:r>
    </w:p>
    <w:p w14:paraId="35F4F5C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6、一旦我方中标，我方将派出</w:t>
      </w:r>
      <w:r>
        <w:rPr>
          <w:rFonts w:hint="eastAsia" w:ascii="宋体" w:hAnsi="宋体"/>
          <w:color w:val="000000" w:themeColor="text1"/>
          <w:sz w:val="24"/>
          <w:szCs w:val="24"/>
          <w:highlight w:val="none"/>
          <w:u w:val="single"/>
          <w14:textFill>
            <w14:solidFill>
              <w14:schemeClr w14:val="tx1"/>
            </w14:solidFill>
          </w14:textFill>
        </w:rPr>
        <w:t xml:space="preserve">   （项目负责人姓名）   </w:t>
      </w:r>
      <w:r>
        <w:rPr>
          <w:rFonts w:hint="eastAsia" w:ascii="宋体" w:hAnsi="宋体"/>
          <w:color w:val="000000" w:themeColor="text1"/>
          <w:sz w:val="24"/>
          <w:szCs w:val="24"/>
          <w:highlight w:val="none"/>
          <w14:textFill>
            <w14:solidFill>
              <w14:schemeClr w14:val="tx1"/>
            </w14:solidFill>
          </w14:textFill>
        </w:rPr>
        <w:t>为本工程的项目负责人。</w:t>
      </w:r>
    </w:p>
    <w:p w14:paraId="615E8B2B">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、我方在此声明。所递交的投标文件及有关资料内容完整、真实和准确。</w:t>
      </w:r>
    </w:p>
    <w:p w14:paraId="208752A0">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F22216C">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w:t>
      </w:r>
      <w:r>
        <w:rPr>
          <w:rFonts w:hint="eastAsia" w:ascii="宋体" w:hAnsi="宋体"/>
          <w:color w:val="000000" w:themeColor="text1"/>
          <w:sz w:val="24"/>
          <w:szCs w:val="24"/>
          <w:highlight w:val="none"/>
          <w:u w:val="single"/>
          <w14:textFill>
            <w14:solidFill>
              <w14:schemeClr w14:val="tx1"/>
            </w14:solidFill>
          </w14:textFill>
        </w:rPr>
        <w:t xml:space="preserve">                                   （盖章）</w:t>
      </w:r>
    </w:p>
    <w:p w14:paraId="111B642D">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0FE58F1">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法定代表人或其委托代理人： </w:t>
      </w:r>
      <w:r>
        <w:rPr>
          <w:rFonts w:hint="eastAsia" w:ascii="宋体" w:hAnsi="宋体"/>
          <w:color w:val="000000" w:themeColor="text1"/>
          <w:sz w:val="24"/>
          <w:szCs w:val="24"/>
          <w:highlight w:val="none"/>
          <w:u w:val="single"/>
          <w14:textFill>
            <w14:solidFill>
              <w14:schemeClr w14:val="tx1"/>
            </w14:solidFill>
          </w14:textFill>
        </w:rPr>
        <w:t xml:space="preserve">          （签字或盖章）</w:t>
      </w:r>
    </w:p>
    <w:p w14:paraId="66DB1935">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0F17FFAC">
      <w:pPr>
        <w:spacing w:line="360" w:lineRule="auto"/>
        <w:ind w:left="420" w:leftChars="200" w:right="420" w:rightChars="200" w:firstLine="51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日    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月</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w:t>
      </w:r>
      <w:r>
        <w:rPr>
          <w:rFonts w:ascii="宋体" w:hAnsi="宋体"/>
          <w:color w:val="000000" w:themeColor="text1"/>
          <w:sz w:val="24"/>
          <w:highlight w:val="none"/>
          <w14:textFill>
            <w14:solidFill>
              <w14:schemeClr w14:val="tx1"/>
            </w14:solidFill>
          </w14:textFill>
        </w:rPr>
        <w:br w:type="page"/>
      </w:r>
    </w:p>
    <w:p w14:paraId="1B51D568">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8" w:name="_Toc24969"/>
      <w:r>
        <w:rPr>
          <w:rFonts w:hint="eastAsia" w:ascii="宋体" w:hAnsi="宋体"/>
          <w:b/>
          <w:color w:val="000000" w:themeColor="text1"/>
          <w:sz w:val="32"/>
          <w:szCs w:val="32"/>
          <w:highlight w:val="none"/>
          <w14:textFill>
            <w14:solidFill>
              <w14:schemeClr w14:val="tx1"/>
            </w14:solidFill>
          </w14:textFill>
        </w:rPr>
        <w:t>二、法定代表人身份证明</w:t>
      </w:r>
      <w:bookmarkEnd w:id="558"/>
    </w:p>
    <w:p w14:paraId="664C7054">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 标 人：</w:t>
      </w:r>
      <w:r>
        <w:rPr>
          <w:rFonts w:hint="eastAsia" w:ascii="宋体" w:hAnsi="宋体"/>
          <w:color w:val="000000" w:themeColor="text1"/>
          <w:sz w:val="24"/>
          <w:highlight w:val="none"/>
          <w:u w:val="single"/>
          <w14:textFill>
            <w14:solidFill>
              <w14:schemeClr w14:val="tx1"/>
            </w14:solidFill>
          </w14:textFill>
        </w:rPr>
        <w:t xml:space="preserve">                     </w:t>
      </w:r>
    </w:p>
    <w:p w14:paraId="0562DB0F">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单位性质：</w:t>
      </w:r>
      <w:r>
        <w:rPr>
          <w:rFonts w:hint="eastAsia" w:ascii="宋体" w:hAnsi="宋体"/>
          <w:color w:val="000000" w:themeColor="text1"/>
          <w:sz w:val="24"/>
          <w:highlight w:val="none"/>
          <w:u w:val="single"/>
          <w14:textFill>
            <w14:solidFill>
              <w14:schemeClr w14:val="tx1"/>
            </w14:solidFill>
          </w14:textFill>
        </w:rPr>
        <w:t xml:space="preserve">                     </w:t>
      </w:r>
    </w:p>
    <w:p w14:paraId="76000407">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地 址：</w:t>
      </w:r>
      <w:r>
        <w:rPr>
          <w:rFonts w:hint="eastAsia" w:ascii="宋体" w:hAnsi="宋体"/>
          <w:color w:val="000000" w:themeColor="text1"/>
          <w:sz w:val="24"/>
          <w:highlight w:val="none"/>
          <w:u w:val="single"/>
          <w14:textFill>
            <w14:solidFill>
              <w14:schemeClr w14:val="tx1"/>
            </w14:solidFill>
          </w14:textFill>
        </w:rPr>
        <w:t xml:space="preserve">                        </w:t>
      </w:r>
    </w:p>
    <w:p w14:paraId="098CA291">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成立时间：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2211B76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经营期限：</w:t>
      </w:r>
      <w:r>
        <w:rPr>
          <w:rFonts w:hint="eastAsia" w:ascii="宋体" w:hAnsi="宋体"/>
          <w:color w:val="000000" w:themeColor="text1"/>
          <w:sz w:val="24"/>
          <w:highlight w:val="none"/>
          <w:u w:val="single"/>
          <w14:textFill>
            <w14:solidFill>
              <w14:schemeClr w14:val="tx1"/>
            </w14:solidFill>
          </w14:textFill>
        </w:rPr>
        <w:t xml:space="preserve">                       </w:t>
      </w:r>
    </w:p>
    <w:p w14:paraId="6C3D3639">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姓 名：</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性 别：</w:t>
      </w:r>
      <w:r>
        <w:rPr>
          <w:rFonts w:hint="eastAsia" w:ascii="宋体" w:hAnsi="宋体"/>
          <w:color w:val="000000" w:themeColor="text1"/>
          <w:sz w:val="24"/>
          <w:highlight w:val="none"/>
          <w:u w:val="single"/>
          <w14:textFill>
            <w14:solidFill>
              <w14:schemeClr w14:val="tx1"/>
            </w14:solidFill>
          </w14:textFill>
        </w:rPr>
        <w:t xml:space="preserve">          </w:t>
      </w:r>
    </w:p>
    <w:p w14:paraId="58A5C7D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年 龄：</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职 务：</w:t>
      </w:r>
      <w:r>
        <w:rPr>
          <w:rFonts w:hint="eastAsia" w:ascii="宋体" w:hAnsi="宋体"/>
          <w:color w:val="000000" w:themeColor="text1"/>
          <w:sz w:val="24"/>
          <w:highlight w:val="none"/>
          <w:u w:val="single"/>
          <w14:textFill>
            <w14:solidFill>
              <w14:schemeClr w14:val="tx1"/>
            </w14:solidFill>
          </w14:textFill>
        </w:rPr>
        <w:t xml:space="preserve">          </w:t>
      </w:r>
    </w:p>
    <w:p w14:paraId="5D9797FA">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(投标人名称)的法定代表人。</w:t>
      </w:r>
    </w:p>
    <w:p w14:paraId="18701643">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特此证明。</w:t>
      </w:r>
    </w:p>
    <w:p w14:paraId="68C587D0">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投标人：</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(盖单位公章)</w:t>
      </w:r>
    </w:p>
    <w:p w14:paraId="70D145FE">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日 </w:t>
      </w:r>
    </w:p>
    <w:p w14:paraId="4AF989FD">
      <w:pPr>
        <w:shd w:val="clear" w:color="auto" w:fill="FFFFFF"/>
        <w:snapToGrid w:val="0"/>
        <w:spacing w:before="100" w:beforeAutospacing="1" w:after="100" w:afterAutospacing="1" w:line="360" w:lineRule="auto"/>
        <w:rPr>
          <w:rFonts w:ascii="宋体" w:hAnsi="宋体"/>
          <w:color w:val="000000" w:themeColor="text1"/>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C77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4" w:hRule="atLeast"/>
          <w:jc w:val="center"/>
        </w:trPr>
        <w:tc>
          <w:tcPr>
            <w:tcW w:w="8720" w:type="dxa"/>
            <w:noWrap w:val="0"/>
            <w:vAlign w:val="top"/>
          </w:tcPr>
          <w:p w14:paraId="23BD78AB">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28CD38E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3B8FD080">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p w14:paraId="35BA4E37">
      <w:pPr>
        <w:pStyle w:val="21"/>
        <w:rPr>
          <w:rFonts w:ascii="宋体" w:hAnsi="宋体"/>
          <w:color w:val="000000" w:themeColor="text1"/>
          <w:highlight w:val="none"/>
          <w14:textFill>
            <w14:solidFill>
              <w14:schemeClr w14:val="tx1"/>
            </w14:solidFill>
          </w14:textFill>
        </w:rPr>
      </w:pPr>
    </w:p>
    <w:p w14:paraId="4EDDB86B">
      <w:pPr>
        <w:rPr>
          <w:rFonts w:ascii="宋体" w:hAnsi="宋体"/>
          <w:color w:val="000000" w:themeColor="text1"/>
          <w:highlight w:val="none"/>
          <w14:textFill>
            <w14:solidFill>
              <w14:schemeClr w14:val="tx1"/>
            </w14:solidFill>
          </w14:textFill>
        </w:rPr>
      </w:pPr>
    </w:p>
    <w:p w14:paraId="7DDE564E">
      <w:pPr>
        <w:pStyle w:val="21"/>
        <w:ind w:left="0" w:leftChars="0" w:firstLine="0" w:firstLineChars="0"/>
        <w:rPr>
          <w:color w:val="000000" w:themeColor="text1"/>
          <w:highlight w:val="none"/>
          <w14:textFill>
            <w14:solidFill>
              <w14:schemeClr w14:val="tx1"/>
            </w14:solidFill>
          </w14:textFill>
        </w:rPr>
      </w:pPr>
    </w:p>
    <w:p w14:paraId="40F7B26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9" w:name="_Toc22674"/>
      <w:r>
        <w:rPr>
          <w:rFonts w:hint="eastAsia" w:ascii="宋体" w:hAnsi="宋体"/>
          <w:b/>
          <w:color w:val="000000" w:themeColor="text1"/>
          <w:sz w:val="32"/>
          <w:szCs w:val="32"/>
          <w:highlight w:val="none"/>
          <w14:textFill>
            <w14:solidFill>
              <w14:schemeClr w14:val="tx1"/>
            </w14:solidFill>
          </w14:textFill>
        </w:rPr>
        <w:t>三、授权委托书（如果有）</w:t>
      </w:r>
      <w:bookmarkEnd w:id="559"/>
    </w:p>
    <w:p w14:paraId="7300FE7F">
      <w:pPr>
        <w:spacing w:line="560" w:lineRule="exact"/>
        <w:ind w:firstLine="48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本人</w:t>
      </w:r>
      <w:r>
        <w:rPr>
          <w:rFonts w:hint="eastAsia" w:ascii="宋体" w:hAnsi="宋体"/>
          <w:color w:val="000000" w:themeColor="text1"/>
          <w:sz w:val="24"/>
          <w:highlight w:val="none"/>
          <w:u w:val="single"/>
          <w14:textFill>
            <w14:solidFill>
              <w14:schemeClr w14:val="tx1"/>
            </w14:solidFill>
          </w14:textFill>
        </w:rPr>
        <w:t xml:space="preserve"> （姓名）</w:t>
      </w: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（投标人名称）  </w:t>
      </w:r>
      <w:r>
        <w:rPr>
          <w:rFonts w:hint="eastAsia" w:ascii="宋体" w:hAnsi="宋体"/>
          <w:color w:val="000000" w:themeColor="text1"/>
          <w:sz w:val="24"/>
          <w:highlight w:val="none"/>
          <w14:textFill>
            <w14:solidFill>
              <w14:schemeClr w14:val="tx1"/>
            </w14:solidFill>
          </w14:textFill>
        </w:rPr>
        <w:t>的法定代表人，现委托</w:t>
      </w:r>
      <w:r>
        <w:rPr>
          <w:rFonts w:hint="eastAsia" w:ascii="宋体" w:hAnsi="宋体"/>
          <w:color w:val="000000" w:themeColor="text1"/>
          <w:sz w:val="24"/>
          <w:highlight w:val="none"/>
          <w:u w:val="single"/>
          <w14:textFill>
            <w14:solidFill>
              <w14:schemeClr w14:val="tx1"/>
            </w14:solidFill>
          </w14:textFill>
        </w:rPr>
        <w:t xml:space="preserve"> （投标人名称） 的（姓名）</w:t>
      </w:r>
      <w:r>
        <w:rPr>
          <w:rFonts w:hint="eastAsia" w:ascii="宋体" w:hAnsi="宋体"/>
          <w:color w:val="000000" w:themeColor="text1"/>
          <w:sz w:val="24"/>
          <w:highlight w:val="none"/>
          <w14:textFill>
            <w14:solidFill>
              <w14:schemeClr w14:val="tx1"/>
            </w14:solidFill>
          </w14:textFill>
        </w:rPr>
        <w:t>为我方代理人。代理人根据授权，以我方名义签署、澄清、说明、补正、递交、撤回、修改</w:t>
      </w:r>
      <w:r>
        <w:rPr>
          <w:rFonts w:hint="eastAsia" w:ascii="宋体" w:hAnsi="宋体"/>
          <w:color w:val="000000" w:themeColor="text1"/>
          <w:sz w:val="24"/>
          <w:highlight w:val="none"/>
          <w:u w:val="single"/>
          <w14:textFill>
            <w14:solidFill>
              <w14:schemeClr w14:val="tx1"/>
            </w14:solidFill>
          </w14:textFill>
        </w:rPr>
        <w:t xml:space="preserve"> （工程名称）</w:t>
      </w:r>
      <w:r>
        <w:rPr>
          <w:rFonts w:hint="eastAsia" w:ascii="宋体" w:hAnsi="宋体"/>
          <w:bCs/>
          <w:color w:val="000000" w:themeColor="text1"/>
          <w:spacing w:val="20"/>
          <w:sz w:val="24"/>
          <w:highlight w:val="none"/>
          <w14:textFill>
            <w14:solidFill>
              <w14:schemeClr w14:val="tx1"/>
            </w14:solidFill>
          </w14:textFill>
        </w:rPr>
        <w:t>施工投标文件、签订合同和处理质疑投诉有关事宜，其法律后果由我方承担。</w:t>
      </w:r>
    </w:p>
    <w:p w14:paraId="53A81B2A">
      <w:pPr>
        <w:spacing w:line="560" w:lineRule="exact"/>
        <w:ind w:firstLine="56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bCs/>
          <w:color w:val="000000" w:themeColor="text1"/>
          <w:spacing w:val="20"/>
          <w:sz w:val="24"/>
          <w:highlight w:val="none"/>
          <w14:textFill>
            <w14:solidFill>
              <w14:schemeClr w14:val="tx1"/>
            </w14:solidFill>
          </w14:textFill>
        </w:rPr>
        <w:t>委托期限：</w:t>
      </w:r>
      <w:r>
        <w:rPr>
          <w:rFonts w:hint="eastAsia" w:ascii="宋体" w:hAnsi="宋体"/>
          <w:bCs/>
          <w:color w:val="000000" w:themeColor="text1"/>
          <w:spacing w:val="20"/>
          <w:sz w:val="24"/>
          <w:highlight w:val="none"/>
          <w:u w:val="single"/>
          <w14:textFill>
            <w14:solidFill>
              <w14:schemeClr w14:val="tx1"/>
            </w14:solidFill>
          </w14:textFill>
        </w:rPr>
        <w:t xml:space="preserve">                   </w:t>
      </w:r>
    </w:p>
    <w:p w14:paraId="4A53B349">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代理人无转委托权。</w:t>
      </w:r>
    </w:p>
    <w:p w14:paraId="56D0079B">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附：法定代表人身份证明</w:t>
      </w:r>
    </w:p>
    <w:p w14:paraId="1C7DB06E">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77110571">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投标单位：</w:t>
      </w:r>
      <w:r>
        <w:rPr>
          <w:rFonts w:hint="eastAsia" w:ascii="宋体" w:hAnsi="宋体"/>
          <w:color w:val="000000" w:themeColor="text1"/>
          <w:sz w:val="24"/>
          <w:highlight w:val="none"/>
          <w:u w:val="single"/>
          <w14:textFill>
            <w14:solidFill>
              <w14:schemeClr w14:val="tx1"/>
            </w14:solidFill>
          </w14:textFill>
        </w:rPr>
        <w:t xml:space="preserve">                                  （盖章）</w:t>
      </w:r>
    </w:p>
    <w:p w14:paraId="4136FF0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法定代表人：</w:t>
      </w:r>
      <w:r>
        <w:rPr>
          <w:rFonts w:hint="eastAsia" w:ascii="宋体" w:hAnsi="宋体"/>
          <w:color w:val="000000" w:themeColor="text1"/>
          <w:sz w:val="24"/>
          <w:highlight w:val="none"/>
          <w:u w:val="single"/>
          <w14:textFill>
            <w14:solidFill>
              <w14:schemeClr w14:val="tx1"/>
            </w14:solidFill>
          </w14:textFill>
        </w:rPr>
        <w:t xml:space="preserve">                           （签字或盖章）</w:t>
      </w:r>
    </w:p>
    <w:p w14:paraId="0AAA6E7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55A578A7">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w:t>
      </w:r>
      <w:r>
        <w:rPr>
          <w:rFonts w:hint="eastAsia" w:ascii="宋体" w:hAnsi="宋体"/>
          <w:color w:val="000000" w:themeColor="text1"/>
          <w:sz w:val="24"/>
          <w:highlight w:val="none"/>
          <w:u w:val="single"/>
          <w14:textFill>
            <w14:solidFill>
              <w14:schemeClr w14:val="tx1"/>
            </w14:solidFill>
          </w14:textFill>
        </w:rPr>
        <w:t xml:space="preserve">                                 （签字）</w:t>
      </w:r>
    </w:p>
    <w:p w14:paraId="7FB9CDC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委托代理人居民身份证号码：</w:t>
      </w:r>
      <w:r>
        <w:rPr>
          <w:rFonts w:hint="eastAsia" w:ascii="宋体" w:hAnsi="宋体"/>
          <w:color w:val="000000" w:themeColor="text1"/>
          <w:sz w:val="24"/>
          <w:highlight w:val="none"/>
          <w:u w:val="single"/>
          <w14:textFill>
            <w14:solidFill>
              <w14:schemeClr w14:val="tx1"/>
            </w14:solidFill>
          </w14:textFill>
        </w:rPr>
        <w:t xml:space="preserve">                                </w:t>
      </w:r>
    </w:p>
    <w:p w14:paraId="6F05BD7E">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委托代理人电话号码：</w:t>
      </w:r>
      <w:r>
        <w:rPr>
          <w:rFonts w:hint="eastAsia" w:ascii="宋体" w:hAnsi="宋体"/>
          <w:color w:val="000000" w:themeColor="text1"/>
          <w:sz w:val="24"/>
          <w:highlight w:val="none"/>
          <w:u w:val="single"/>
          <w14:textFill>
            <w14:solidFill>
              <w14:schemeClr w14:val="tx1"/>
            </w14:solidFill>
          </w14:textFill>
        </w:rPr>
        <w:t xml:space="preserve">                                 </w:t>
      </w:r>
    </w:p>
    <w:p w14:paraId="688255E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联系电话：</w:t>
      </w:r>
      <w:r>
        <w:rPr>
          <w:rFonts w:hint="eastAsia" w:ascii="宋体" w:hAnsi="宋体"/>
          <w:color w:val="000000" w:themeColor="text1"/>
          <w:sz w:val="24"/>
          <w:highlight w:val="none"/>
          <w:u w:val="single"/>
          <w14:textFill>
            <w14:solidFill>
              <w14:schemeClr w14:val="tx1"/>
            </w14:solidFill>
          </w14:textFill>
        </w:rPr>
        <w:t xml:space="preserve">           </w:t>
      </w:r>
    </w:p>
    <w:p w14:paraId="199C7983">
      <w:pPr>
        <w:spacing w:line="500" w:lineRule="exact"/>
        <w:ind w:firstLine="3753" w:firstLineChars="1564"/>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78D0ED8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69452B1F">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EB7967B">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tbl>
      <w:tblPr>
        <w:tblStyle w:val="17"/>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000000" w:themeColor="text1"/>
                <w:sz w:val="24"/>
                <w:highlight w:val="none"/>
                <w14:textFill>
                  <w14:solidFill>
                    <w14:schemeClr w14:val="tx1"/>
                  </w14:solidFill>
                </w14:textFill>
              </w:rPr>
            </w:pPr>
            <w:bookmarkStart w:id="560" w:name="_Toc39863048"/>
            <w:bookmarkStart w:id="561" w:name="_Toc15849"/>
          </w:p>
          <w:p w14:paraId="450215D6">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F7EE5F9">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授权委托人身份证复印件</w:t>
            </w:r>
          </w:p>
        </w:tc>
      </w:tr>
    </w:tbl>
    <w:p w14:paraId="37D197B7">
      <w:pPr>
        <w:rPr>
          <w:rFonts w:hint="eastAsia" w:ascii="宋体" w:hAnsi="宋体"/>
          <w:b/>
          <w:color w:val="000000" w:themeColor="text1"/>
          <w:sz w:val="32"/>
          <w:szCs w:val="32"/>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8FCBE6A">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四、资格审查资料</w:t>
      </w:r>
      <w:bookmarkEnd w:id="560"/>
      <w:bookmarkEnd w:id="561"/>
    </w:p>
    <w:p w14:paraId="76DBEFE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1 </w:t>
      </w:r>
      <w:r>
        <w:rPr>
          <w:rFonts w:hint="eastAsia" w:ascii="宋体" w:hAnsi="宋体"/>
          <w:color w:val="000000" w:themeColor="text1"/>
          <w:sz w:val="24"/>
          <w:highlight w:val="none"/>
          <w14:textFill>
            <w14:solidFill>
              <w14:schemeClr w14:val="tx1"/>
            </w14:solidFill>
          </w14:textFill>
        </w:rPr>
        <w:t>投标人有效的营业执照（副本）。</w:t>
      </w:r>
    </w:p>
    <w:p w14:paraId="14EAAF4F">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2 </w:t>
      </w:r>
      <w:r>
        <w:rPr>
          <w:rFonts w:hint="eastAsia" w:ascii="宋体" w:hAnsi="宋体"/>
          <w:color w:val="000000" w:themeColor="text1"/>
          <w:sz w:val="24"/>
          <w:highlight w:val="none"/>
          <w14:textFill>
            <w14:solidFill>
              <w14:schemeClr w14:val="tx1"/>
            </w14:solidFill>
          </w14:textFill>
        </w:rPr>
        <w:t>投标人有效的施工资质证书（副本）。</w:t>
      </w:r>
    </w:p>
    <w:p w14:paraId="49659748">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3 </w:t>
      </w:r>
      <w:r>
        <w:rPr>
          <w:rFonts w:hint="eastAsia" w:ascii="宋体" w:hAnsi="宋体"/>
          <w:color w:val="000000" w:themeColor="text1"/>
          <w:sz w:val="24"/>
          <w:highlight w:val="none"/>
          <w14:textFill>
            <w14:solidFill>
              <w14:schemeClr w14:val="tx1"/>
            </w14:solidFill>
          </w14:textFill>
        </w:rPr>
        <w:t>投标人有效的企业安全生产许可证（副本）。</w:t>
      </w:r>
    </w:p>
    <w:p w14:paraId="7CD9804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4 </w:t>
      </w:r>
      <w:r>
        <w:rPr>
          <w:rFonts w:hint="eastAsia" w:ascii="宋体" w:hAnsi="宋体"/>
          <w:color w:val="000000" w:themeColor="text1"/>
          <w:sz w:val="24"/>
          <w:highlight w:val="none"/>
          <w14:textFill>
            <w14:solidFill>
              <w14:schemeClr w14:val="tx1"/>
            </w14:solidFill>
          </w14:textFill>
        </w:rPr>
        <w:t>投标项目负责人有效的安全生产考核合格证（B 类）。</w:t>
      </w:r>
    </w:p>
    <w:p w14:paraId="56B147BD">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5 </w:t>
      </w:r>
      <w:r>
        <w:rPr>
          <w:rFonts w:hint="eastAsia" w:ascii="宋体" w:hAnsi="宋体"/>
          <w:color w:val="000000" w:themeColor="text1"/>
          <w:sz w:val="24"/>
          <w:highlight w:val="none"/>
          <w14:textFill>
            <w14:solidFill>
              <w14:schemeClr w14:val="tx1"/>
            </w14:solidFill>
          </w14:textFill>
        </w:rPr>
        <w:t>符合招标文件约定要求的项目负责人的建造师注册证书。</w:t>
      </w:r>
    </w:p>
    <w:p w14:paraId="5CA3EDB0">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6 </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7 </w:t>
      </w:r>
      <w:r>
        <w:rPr>
          <w:rFonts w:hint="eastAsia" w:ascii="宋体" w:hAnsi="宋体"/>
          <w:color w:val="000000" w:themeColor="text1"/>
          <w:sz w:val="24"/>
          <w:szCs w:val="24"/>
          <w:highlight w:val="none"/>
          <w:lang w:val="en-US" w:eastAsia="zh-CN"/>
          <w14:textFill>
            <w14:solidFill>
              <w14:schemeClr w14:val="tx1"/>
            </w14:solidFill>
          </w14:textFill>
        </w:rPr>
        <w:t>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w:t>
      </w:r>
    </w:p>
    <w:p w14:paraId="17A8A85A">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8 </w:t>
      </w:r>
      <w:r>
        <w:rPr>
          <w:rFonts w:hint="eastAsia" w:ascii="宋体" w:hAnsi="宋体"/>
          <w:color w:val="000000" w:themeColor="text1"/>
          <w:sz w:val="24"/>
          <w:highlight w:val="none"/>
          <w14:textFill>
            <w14:solidFill>
              <w14:schemeClr w14:val="tx1"/>
            </w14:solidFill>
          </w14:textFill>
        </w:rPr>
        <w:t>招标文件要求的其它证明资料。</w:t>
      </w:r>
    </w:p>
    <w:p w14:paraId="25EB3633">
      <w:pPr>
        <w:spacing w:before="60" w:beforeLines="25" w:after="60" w:afterLines="25" w:line="360" w:lineRule="auto"/>
        <w:ind w:firstLine="241" w:firstLineChars="100"/>
        <w:rPr>
          <w:rFonts w:ascii="宋体" w:hAnsi="宋体"/>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val="en-US" w:eastAsia="zh-CN"/>
          <w14:textFill>
            <w14:solidFill>
              <w14:schemeClr w14:val="tx1"/>
            </w14:solidFill>
          </w14:textFill>
        </w:rPr>
        <w:t>注：</w:t>
      </w:r>
      <w:r>
        <w:rPr>
          <w:rFonts w:hint="eastAsia" w:ascii="宋体" w:hAnsi="宋体"/>
          <w:b/>
          <w:bCs/>
          <w:color w:val="000000" w:themeColor="text1"/>
          <w:sz w:val="24"/>
          <w:highlight w:val="none"/>
          <w:lang w:eastAsia="zh-CN"/>
          <w14:textFill>
            <w14:solidFill>
              <w14:schemeClr w14:val="tx1"/>
            </w14:solidFill>
          </w14:textFill>
        </w:rPr>
        <w:t>上述资格审查</w:t>
      </w:r>
      <w:r>
        <w:rPr>
          <w:rFonts w:hint="eastAsia" w:ascii="宋体" w:hAnsi="宋体"/>
          <w:b/>
          <w:bCs/>
          <w:color w:val="000000" w:themeColor="text1"/>
          <w:sz w:val="24"/>
          <w:highlight w:val="none"/>
          <w:lang w:val="en-US" w:eastAsia="zh-CN"/>
          <w14:textFill>
            <w14:solidFill>
              <w14:schemeClr w14:val="tx1"/>
            </w14:solidFill>
          </w14:textFill>
        </w:rPr>
        <w:t>材料须为原件彩色扫描件并加盖单位公章。</w:t>
      </w:r>
      <w:r>
        <w:rPr>
          <w:rFonts w:hint="eastAsia" w:ascii="宋体" w:hAnsi="宋体"/>
          <w:b/>
          <w:bCs/>
          <w:color w:val="000000" w:themeColor="text1"/>
          <w:sz w:val="24"/>
          <w:highlight w:val="none"/>
          <w14:textFill>
            <w14:solidFill>
              <w14:schemeClr w14:val="tx1"/>
            </w14:solidFill>
          </w14:textFill>
        </w:rPr>
        <w:t>否则资格审查不予通过。</w:t>
      </w:r>
    </w:p>
    <w:p w14:paraId="5E5D0251">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color w:val="000000" w:themeColor="text1"/>
          <w:sz w:val="30"/>
          <w:szCs w:val="30"/>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br w:type="page"/>
      </w:r>
      <w:bookmarkStart w:id="562" w:name="_Toc39863049"/>
      <w:bookmarkStart w:id="563" w:name="_Toc26184"/>
      <w:r>
        <w:rPr>
          <w:rFonts w:hint="eastAsia" w:ascii="宋体" w:hAnsi="宋体"/>
          <w:b/>
          <w:color w:val="000000" w:themeColor="text1"/>
          <w:sz w:val="30"/>
          <w:szCs w:val="30"/>
          <w:highlight w:val="none"/>
          <w14:textFill>
            <w14:solidFill>
              <w14:schemeClr w14:val="tx1"/>
            </w14:solidFill>
          </w14:textFill>
        </w:rPr>
        <w:t>五、已标价工程量清单</w:t>
      </w:r>
      <w:bookmarkEnd w:id="562"/>
      <w:bookmarkEnd w:id="563"/>
    </w:p>
    <w:p w14:paraId="51904B79">
      <w:pPr>
        <w:keepNext w:val="0"/>
        <w:keepLines w:val="0"/>
        <w:pageBreakBefore w:val="0"/>
        <w:widowControl w:val="0"/>
        <w:shd w:val="clear"/>
        <w:kinsoku/>
        <w:wordWrap/>
        <w:overflowPunct/>
        <w:topLinePunct w:val="0"/>
        <w:autoSpaceDE/>
        <w:autoSpaceDN/>
        <w:bidi w:val="0"/>
        <w:adjustRightInd w:val="0"/>
        <w:snapToGrid w:val="0"/>
        <w:spacing w:line="480" w:lineRule="auto"/>
        <w:textAlignment w:val="auto"/>
        <w:rPr>
          <w:rFonts w:hint="eastAsia" w:ascii="宋体" w:hAnsi="宋体" w:cs="宋体"/>
          <w:color w:val="000000" w:themeColor="text1"/>
          <w:sz w:val="28"/>
          <w:szCs w:val="28"/>
          <w:highlight w:val="none"/>
          <w:shd w:val="clear" w:color="auto" w:fill="auto"/>
          <w:lang w:val="en-US" w:eastAsia="zh-CN"/>
          <w14:textFill>
            <w14:solidFill>
              <w14:schemeClr w14:val="tx1"/>
            </w14:solidFill>
          </w14:textFill>
        </w:rPr>
      </w:pPr>
      <w:r>
        <w:rPr>
          <w:rFonts w:hint="eastAsia" w:ascii="宋体" w:hAnsi="宋体" w:cs="宋体"/>
          <w:color w:val="000000" w:themeColor="text1"/>
          <w:sz w:val="28"/>
          <w:szCs w:val="28"/>
          <w:highlight w:val="none"/>
          <w:shd w:val="clear" w:color="auto" w:fill="auto"/>
          <w:lang w:val="en-US" w:eastAsia="zh-CN"/>
          <w14:textFill>
            <w14:solidFill>
              <w14:schemeClr w14:val="tx1"/>
            </w14:solidFill>
          </w14:textFill>
        </w:rPr>
        <w:t>链接：响水县2024年大有镇淮河村宜居宜业和美乡村新增建设项目</w:t>
      </w:r>
    </w:p>
    <w:p w14:paraId="380C2DA2">
      <w:pPr>
        <w:keepNext w:val="0"/>
        <w:keepLines w:val="0"/>
        <w:pageBreakBefore w:val="0"/>
        <w:widowControl w:val="0"/>
        <w:shd w:val="clear"/>
        <w:kinsoku/>
        <w:wordWrap/>
        <w:overflowPunct/>
        <w:topLinePunct w:val="0"/>
        <w:autoSpaceDE/>
        <w:autoSpaceDN/>
        <w:bidi w:val="0"/>
        <w:adjustRightInd w:val="0"/>
        <w:snapToGrid w:val="0"/>
        <w:spacing w:line="480" w:lineRule="auto"/>
        <w:textAlignment w:val="auto"/>
        <w:rPr>
          <w:rFonts w:hint="eastAsia" w:ascii="宋体" w:hAnsi="宋体" w:cs="宋体"/>
          <w:color w:val="000000" w:themeColor="text1"/>
          <w:sz w:val="28"/>
          <w:szCs w:val="28"/>
          <w:highlight w:val="none"/>
          <w:shd w:val="clear" w:color="auto" w:fill="auto"/>
          <w:lang w:val="en-US" w:eastAsia="zh-CN"/>
          <w14:textFill>
            <w14:solidFill>
              <w14:schemeClr w14:val="tx1"/>
            </w14:solidFill>
          </w14:textFill>
        </w:rPr>
      </w:pPr>
      <w:r>
        <w:rPr>
          <w:rFonts w:hint="eastAsia" w:ascii="宋体" w:hAnsi="宋体" w:cs="宋体"/>
          <w:color w:val="000000" w:themeColor="text1"/>
          <w:sz w:val="28"/>
          <w:szCs w:val="28"/>
          <w:highlight w:val="none"/>
          <w:shd w:val="clear" w:color="auto" w:fill="auto"/>
          <w:lang w:val="en-US" w:eastAsia="zh-CN"/>
          <w14:textFill>
            <w14:solidFill>
              <w14:schemeClr w14:val="tx1"/>
            </w14:solidFill>
          </w14:textFill>
        </w:rPr>
        <w:t xml:space="preserve"> https://pan.baidu.com/s/13jODFGivrL2sVzqRRCBmHw </w:t>
      </w:r>
    </w:p>
    <w:p w14:paraId="4D4B82CE">
      <w:pPr>
        <w:keepNext w:val="0"/>
        <w:keepLines w:val="0"/>
        <w:pageBreakBefore w:val="0"/>
        <w:widowControl w:val="0"/>
        <w:kinsoku/>
        <w:wordWrap/>
        <w:overflowPunct/>
        <w:topLinePunct w:val="0"/>
        <w:autoSpaceDE/>
        <w:autoSpaceDN/>
        <w:bidi w:val="0"/>
        <w:snapToGrid w:val="0"/>
        <w:spacing w:before="60" w:beforeLines="25" w:after="60" w:afterLines="25" w:line="480" w:lineRule="auto"/>
        <w:textAlignment w:val="auto"/>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shd w:val="clear" w:color="auto" w:fill="auto"/>
          <w:lang w:val="en-US" w:eastAsia="zh-CN"/>
          <w14:textFill>
            <w14:solidFill>
              <w14:schemeClr w14:val="tx1"/>
            </w14:solidFill>
          </w14:textFill>
        </w:rPr>
        <w:t xml:space="preserve">提取码： hz8u </w:t>
      </w:r>
    </w:p>
    <w:p w14:paraId="05881E4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551A832B">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387F3C55">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374E32">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5906604">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31EC4F6">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7144F7BE">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9DA18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00C1AA9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2937110E">
      <w:pPr>
        <w:spacing w:line="500" w:lineRule="exact"/>
        <w:outlineLvl w:val="1"/>
        <w:rPr>
          <w:rFonts w:ascii="宋体" w:hAnsi="宋体"/>
          <w:b/>
          <w:color w:val="000000" w:themeColor="text1"/>
          <w:sz w:val="30"/>
          <w:szCs w:val="30"/>
          <w:highlight w:val="none"/>
          <w14:textFill>
            <w14:solidFill>
              <w14:schemeClr w14:val="tx1"/>
            </w14:solidFill>
          </w14:textFill>
        </w:rPr>
      </w:pPr>
      <w:bookmarkStart w:id="564" w:name="_Toc39863050"/>
    </w:p>
    <w:p w14:paraId="04EB626F">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215710D8">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74C5AC23">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6C3CB8A5">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55747F70">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0A27EBA2">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3547B95E">
      <w:pPr>
        <w:rPr>
          <w:rFonts w:hint="eastAsia"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br w:type="page"/>
      </w:r>
    </w:p>
    <w:p w14:paraId="03785AD5">
      <w:pPr>
        <w:spacing w:line="500" w:lineRule="exact"/>
        <w:jc w:val="center"/>
        <w:outlineLvl w:val="1"/>
        <w:rPr>
          <w:rFonts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t>六、招标文件要求的其他资料</w:t>
      </w:r>
      <w:bookmarkEnd w:id="564"/>
    </w:p>
    <w:p w14:paraId="021C236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3D9D26DA">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9F279A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B1B480">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7E333A3">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DC6F82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99C10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1DBCB978">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6783D74">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1D9853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A0E9E5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4980D67C">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2BD6CF84">
      <w:pPr>
        <w:rPr>
          <w:rFonts w:hint="eastAsia"/>
          <w:color w:val="000000" w:themeColor="text1"/>
          <w:highlight w:val="none"/>
          <w14:textFill>
            <w14:solidFill>
              <w14:schemeClr w14:val="tx1"/>
            </w14:solidFill>
          </w14:textFill>
        </w:rPr>
      </w:pPr>
    </w:p>
    <w:p w14:paraId="7F2279E3">
      <w:pPr>
        <w:rPr>
          <w:color w:val="000000" w:themeColor="text1"/>
          <w:highlight w:val="none"/>
          <w14:textFill>
            <w14:solidFill>
              <w14:schemeClr w14:val="tx1"/>
            </w14:solidFill>
          </w14:textFill>
        </w:rPr>
      </w:pPr>
    </w:p>
    <w:sectPr>
      <w:footerReference r:id="rId6" w:type="first"/>
      <w:headerReference r:id="rId4" w:type="default"/>
      <w:footerReference r:id="rId5" w:type="default"/>
      <w:pgSz w:w="11906" w:h="16838"/>
      <w:pgMar w:top="1361" w:right="1497" w:bottom="1361" w:left="1497" w:header="850" w:footer="992" w:gutter="0"/>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F544">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11"/>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7FF6"/>
    <w:multiLevelType w:val="singleLevel"/>
    <w:tmpl w:val="A68E7FF6"/>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577718"/>
    <w:rsid w:val="0078768E"/>
    <w:rsid w:val="00AD558A"/>
    <w:rsid w:val="00F1191B"/>
    <w:rsid w:val="00FB4547"/>
    <w:rsid w:val="010F1564"/>
    <w:rsid w:val="012D2227"/>
    <w:rsid w:val="013637D1"/>
    <w:rsid w:val="016823AF"/>
    <w:rsid w:val="01AF5332"/>
    <w:rsid w:val="01C40DDD"/>
    <w:rsid w:val="01E4322D"/>
    <w:rsid w:val="01FD42EF"/>
    <w:rsid w:val="02005154"/>
    <w:rsid w:val="02181129"/>
    <w:rsid w:val="02A429BD"/>
    <w:rsid w:val="02C1356F"/>
    <w:rsid w:val="02C71B42"/>
    <w:rsid w:val="02CB1CF7"/>
    <w:rsid w:val="02D850FD"/>
    <w:rsid w:val="02FC45A7"/>
    <w:rsid w:val="03305436"/>
    <w:rsid w:val="03CC21CB"/>
    <w:rsid w:val="041A505D"/>
    <w:rsid w:val="04446205"/>
    <w:rsid w:val="045A77D7"/>
    <w:rsid w:val="047F0FEB"/>
    <w:rsid w:val="04A86794"/>
    <w:rsid w:val="04E672BC"/>
    <w:rsid w:val="04F419D9"/>
    <w:rsid w:val="04FF037E"/>
    <w:rsid w:val="05057914"/>
    <w:rsid w:val="050F6813"/>
    <w:rsid w:val="057743B8"/>
    <w:rsid w:val="058A40EC"/>
    <w:rsid w:val="05BE1FE7"/>
    <w:rsid w:val="05D830A9"/>
    <w:rsid w:val="05DC1FD5"/>
    <w:rsid w:val="066E57BB"/>
    <w:rsid w:val="06F6028C"/>
    <w:rsid w:val="06FC2DC7"/>
    <w:rsid w:val="07027CB2"/>
    <w:rsid w:val="07217A79"/>
    <w:rsid w:val="073267E9"/>
    <w:rsid w:val="075449B1"/>
    <w:rsid w:val="076646E5"/>
    <w:rsid w:val="07852DBD"/>
    <w:rsid w:val="078E4957"/>
    <w:rsid w:val="07950B26"/>
    <w:rsid w:val="07CE2A6D"/>
    <w:rsid w:val="085B1D6F"/>
    <w:rsid w:val="08766BA9"/>
    <w:rsid w:val="08AD13DA"/>
    <w:rsid w:val="08E41D65"/>
    <w:rsid w:val="08E6788B"/>
    <w:rsid w:val="08EC260A"/>
    <w:rsid w:val="090D12BC"/>
    <w:rsid w:val="09246605"/>
    <w:rsid w:val="09330E06"/>
    <w:rsid w:val="09726E4B"/>
    <w:rsid w:val="097965C8"/>
    <w:rsid w:val="09B64076"/>
    <w:rsid w:val="09CD0A4B"/>
    <w:rsid w:val="0A544CC8"/>
    <w:rsid w:val="0AC97464"/>
    <w:rsid w:val="0B0941CB"/>
    <w:rsid w:val="0B54368F"/>
    <w:rsid w:val="0B633415"/>
    <w:rsid w:val="0B664CB3"/>
    <w:rsid w:val="0BA457DB"/>
    <w:rsid w:val="0C5E1E2E"/>
    <w:rsid w:val="0C6A432F"/>
    <w:rsid w:val="0C8C699B"/>
    <w:rsid w:val="0CE13D8F"/>
    <w:rsid w:val="0D091D9A"/>
    <w:rsid w:val="0D136775"/>
    <w:rsid w:val="0D162709"/>
    <w:rsid w:val="0D331A72"/>
    <w:rsid w:val="0D576FA9"/>
    <w:rsid w:val="0D815DD4"/>
    <w:rsid w:val="0DA63A8D"/>
    <w:rsid w:val="0E752B05"/>
    <w:rsid w:val="0E83792A"/>
    <w:rsid w:val="0E9B2EC6"/>
    <w:rsid w:val="0E9D1B60"/>
    <w:rsid w:val="0EF80318"/>
    <w:rsid w:val="0F977B31"/>
    <w:rsid w:val="0FEF4877"/>
    <w:rsid w:val="100D1BA1"/>
    <w:rsid w:val="101F0E02"/>
    <w:rsid w:val="106519DD"/>
    <w:rsid w:val="110A4333"/>
    <w:rsid w:val="111451B1"/>
    <w:rsid w:val="11424266"/>
    <w:rsid w:val="11427343"/>
    <w:rsid w:val="11B1675D"/>
    <w:rsid w:val="11F33019"/>
    <w:rsid w:val="121511E1"/>
    <w:rsid w:val="129465AA"/>
    <w:rsid w:val="13141499"/>
    <w:rsid w:val="13203326"/>
    <w:rsid w:val="13354E3F"/>
    <w:rsid w:val="13593F46"/>
    <w:rsid w:val="13603B04"/>
    <w:rsid w:val="136801B9"/>
    <w:rsid w:val="13785584"/>
    <w:rsid w:val="140E7C96"/>
    <w:rsid w:val="14141A55"/>
    <w:rsid w:val="145558C5"/>
    <w:rsid w:val="147815B3"/>
    <w:rsid w:val="148F527B"/>
    <w:rsid w:val="14E05AD6"/>
    <w:rsid w:val="15035321"/>
    <w:rsid w:val="151237B6"/>
    <w:rsid w:val="15581B10"/>
    <w:rsid w:val="155C2C83"/>
    <w:rsid w:val="156657BE"/>
    <w:rsid w:val="156C55BC"/>
    <w:rsid w:val="15CA0281"/>
    <w:rsid w:val="15E433A4"/>
    <w:rsid w:val="16504596"/>
    <w:rsid w:val="16726C02"/>
    <w:rsid w:val="167F4E7B"/>
    <w:rsid w:val="168F2844"/>
    <w:rsid w:val="16FC471D"/>
    <w:rsid w:val="17017F86"/>
    <w:rsid w:val="17036ABF"/>
    <w:rsid w:val="1736733B"/>
    <w:rsid w:val="174560C4"/>
    <w:rsid w:val="17793FC0"/>
    <w:rsid w:val="17936E30"/>
    <w:rsid w:val="17FB49D5"/>
    <w:rsid w:val="17FD699F"/>
    <w:rsid w:val="18221F62"/>
    <w:rsid w:val="184470B2"/>
    <w:rsid w:val="185A5BA0"/>
    <w:rsid w:val="18C15C1F"/>
    <w:rsid w:val="18D25736"/>
    <w:rsid w:val="191F46F3"/>
    <w:rsid w:val="193F5F3A"/>
    <w:rsid w:val="19831BB1"/>
    <w:rsid w:val="199D21E8"/>
    <w:rsid w:val="19E716B5"/>
    <w:rsid w:val="1ABF08C1"/>
    <w:rsid w:val="1AF000F5"/>
    <w:rsid w:val="1B1464DA"/>
    <w:rsid w:val="1B481CDF"/>
    <w:rsid w:val="1B8F3DB2"/>
    <w:rsid w:val="1B9E2247"/>
    <w:rsid w:val="1BB67591"/>
    <w:rsid w:val="1BD619E1"/>
    <w:rsid w:val="1BEB6903"/>
    <w:rsid w:val="1C165D25"/>
    <w:rsid w:val="1C7A6810"/>
    <w:rsid w:val="1C8E5E18"/>
    <w:rsid w:val="1CA4388D"/>
    <w:rsid w:val="1CD51026"/>
    <w:rsid w:val="1D14303A"/>
    <w:rsid w:val="1D384CFC"/>
    <w:rsid w:val="1D556936"/>
    <w:rsid w:val="1D5E1C8E"/>
    <w:rsid w:val="1D61352C"/>
    <w:rsid w:val="1D813BCE"/>
    <w:rsid w:val="1DDE4B7D"/>
    <w:rsid w:val="1E2F362A"/>
    <w:rsid w:val="1E672DC4"/>
    <w:rsid w:val="1EA336D1"/>
    <w:rsid w:val="1F152820"/>
    <w:rsid w:val="208714FC"/>
    <w:rsid w:val="209D2ACD"/>
    <w:rsid w:val="20BE47F2"/>
    <w:rsid w:val="20C07489"/>
    <w:rsid w:val="20C21FFD"/>
    <w:rsid w:val="20EF1371"/>
    <w:rsid w:val="217001E2"/>
    <w:rsid w:val="217D4722"/>
    <w:rsid w:val="21A36346"/>
    <w:rsid w:val="21B722FE"/>
    <w:rsid w:val="22581183"/>
    <w:rsid w:val="225C2853"/>
    <w:rsid w:val="23627FFE"/>
    <w:rsid w:val="24482D50"/>
    <w:rsid w:val="246851A0"/>
    <w:rsid w:val="24BA70E1"/>
    <w:rsid w:val="24C90335"/>
    <w:rsid w:val="24FB1376"/>
    <w:rsid w:val="25302162"/>
    <w:rsid w:val="25565941"/>
    <w:rsid w:val="257F2D58"/>
    <w:rsid w:val="25A03B74"/>
    <w:rsid w:val="25DA3E7C"/>
    <w:rsid w:val="26121868"/>
    <w:rsid w:val="261F21D6"/>
    <w:rsid w:val="26606A77"/>
    <w:rsid w:val="266E5E6A"/>
    <w:rsid w:val="26A76454"/>
    <w:rsid w:val="27084A19"/>
    <w:rsid w:val="27383550"/>
    <w:rsid w:val="279B3ADF"/>
    <w:rsid w:val="27AB1F74"/>
    <w:rsid w:val="27B5694E"/>
    <w:rsid w:val="27CE17BE"/>
    <w:rsid w:val="28137B19"/>
    <w:rsid w:val="283C2BCC"/>
    <w:rsid w:val="287C746C"/>
    <w:rsid w:val="289E73E3"/>
    <w:rsid w:val="28D76D98"/>
    <w:rsid w:val="290F6532"/>
    <w:rsid w:val="29270955"/>
    <w:rsid w:val="296A19BB"/>
    <w:rsid w:val="29BF1D06"/>
    <w:rsid w:val="29E94127"/>
    <w:rsid w:val="2AC82E3D"/>
    <w:rsid w:val="2B157704"/>
    <w:rsid w:val="2BBD0F0F"/>
    <w:rsid w:val="2C3C763E"/>
    <w:rsid w:val="2C5801F0"/>
    <w:rsid w:val="2CC633AC"/>
    <w:rsid w:val="2CC919E7"/>
    <w:rsid w:val="2CEA363E"/>
    <w:rsid w:val="2CF33A75"/>
    <w:rsid w:val="2D0D4B37"/>
    <w:rsid w:val="2D1660E1"/>
    <w:rsid w:val="2D6C5D01"/>
    <w:rsid w:val="2D8964F0"/>
    <w:rsid w:val="2D9139BA"/>
    <w:rsid w:val="2DD65871"/>
    <w:rsid w:val="2DFD2DFD"/>
    <w:rsid w:val="2E1819E5"/>
    <w:rsid w:val="2E3A5DFF"/>
    <w:rsid w:val="2E3E08AA"/>
    <w:rsid w:val="2E3E1322"/>
    <w:rsid w:val="2E5C5223"/>
    <w:rsid w:val="2EF53AD4"/>
    <w:rsid w:val="2EF73CF0"/>
    <w:rsid w:val="2F104DB2"/>
    <w:rsid w:val="2F14027F"/>
    <w:rsid w:val="2F4B5DEA"/>
    <w:rsid w:val="2F642A08"/>
    <w:rsid w:val="2F782EE2"/>
    <w:rsid w:val="2FF63FA8"/>
    <w:rsid w:val="30071D11"/>
    <w:rsid w:val="300E12F2"/>
    <w:rsid w:val="303845C1"/>
    <w:rsid w:val="308926FF"/>
    <w:rsid w:val="309061AB"/>
    <w:rsid w:val="30AB4D93"/>
    <w:rsid w:val="312406A1"/>
    <w:rsid w:val="3140197F"/>
    <w:rsid w:val="31452861"/>
    <w:rsid w:val="315E0057"/>
    <w:rsid w:val="31653193"/>
    <w:rsid w:val="316B42FE"/>
    <w:rsid w:val="317E24A7"/>
    <w:rsid w:val="318A0E4C"/>
    <w:rsid w:val="31944BAA"/>
    <w:rsid w:val="31A35A6A"/>
    <w:rsid w:val="31A73838"/>
    <w:rsid w:val="31E859EF"/>
    <w:rsid w:val="324832D5"/>
    <w:rsid w:val="32495C16"/>
    <w:rsid w:val="32607DFF"/>
    <w:rsid w:val="32D00899"/>
    <w:rsid w:val="32F80037"/>
    <w:rsid w:val="32FF4F22"/>
    <w:rsid w:val="33857B1D"/>
    <w:rsid w:val="33C10429"/>
    <w:rsid w:val="33DA14EB"/>
    <w:rsid w:val="33DB3207"/>
    <w:rsid w:val="33FC015A"/>
    <w:rsid w:val="340A3924"/>
    <w:rsid w:val="345E3ECA"/>
    <w:rsid w:val="351570C4"/>
    <w:rsid w:val="354632DC"/>
    <w:rsid w:val="354C01C6"/>
    <w:rsid w:val="357118EC"/>
    <w:rsid w:val="359E4EC6"/>
    <w:rsid w:val="35CB1A33"/>
    <w:rsid w:val="35EB79DF"/>
    <w:rsid w:val="369462C9"/>
    <w:rsid w:val="36CC46F5"/>
    <w:rsid w:val="36E004F3"/>
    <w:rsid w:val="36E36908"/>
    <w:rsid w:val="37553F15"/>
    <w:rsid w:val="37561278"/>
    <w:rsid w:val="375A12C0"/>
    <w:rsid w:val="37893954"/>
    <w:rsid w:val="37F60FE9"/>
    <w:rsid w:val="37F7266B"/>
    <w:rsid w:val="38080D1C"/>
    <w:rsid w:val="381C47C8"/>
    <w:rsid w:val="38855EC9"/>
    <w:rsid w:val="388F55FC"/>
    <w:rsid w:val="38CF165D"/>
    <w:rsid w:val="390239BE"/>
    <w:rsid w:val="398D772B"/>
    <w:rsid w:val="3A1A6AE5"/>
    <w:rsid w:val="3A563FC1"/>
    <w:rsid w:val="3A7B3A28"/>
    <w:rsid w:val="3A9B5E78"/>
    <w:rsid w:val="3B424545"/>
    <w:rsid w:val="3BC6411F"/>
    <w:rsid w:val="3BD66A3C"/>
    <w:rsid w:val="3C2D6FA3"/>
    <w:rsid w:val="3C906EB5"/>
    <w:rsid w:val="3C917532"/>
    <w:rsid w:val="3CE138EA"/>
    <w:rsid w:val="3CE77152"/>
    <w:rsid w:val="3D246014"/>
    <w:rsid w:val="3D4170B3"/>
    <w:rsid w:val="3D510A70"/>
    <w:rsid w:val="3D7F382F"/>
    <w:rsid w:val="3E083824"/>
    <w:rsid w:val="3EAF3CA0"/>
    <w:rsid w:val="3EE9778C"/>
    <w:rsid w:val="3F0B4C4E"/>
    <w:rsid w:val="3F5E1222"/>
    <w:rsid w:val="3F632CDC"/>
    <w:rsid w:val="3F6727CC"/>
    <w:rsid w:val="3F770DA1"/>
    <w:rsid w:val="3FB40ADB"/>
    <w:rsid w:val="40493C80"/>
    <w:rsid w:val="40893130"/>
    <w:rsid w:val="40A37834"/>
    <w:rsid w:val="414D63E8"/>
    <w:rsid w:val="41E77BF5"/>
    <w:rsid w:val="41EB2BD3"/>
    <w:rsid w:val="42091919"/>
    <w:rsid w:val="420E33D3"/>
    <w:rsid w:val="42AC04F6"/>
    <w:rsid w:val="42CD6DEA"/>
    <w:rsid w:val="42FE5622"/>
    <w:rsid w:val="431E7646"/>
    <w:rsid w:val="432F1853"/>
    <w:rsid w:val="434B5F61"/>
    <w:rsid w:val="43AE2C24"/>
    <w:rsid w:val="444847EB"/>
    <w:rsid w:val="445F7F16"/>
    <w:rsid w:val="44892E49"/>
    <w:rsid w:val="449851D6"/>
    <w:rsid w:val="44A2378F"/>
    <w:rsid w:val="45057A04"/>
    <w:rsid w:val="456F0C12"/>
    <w:rsid w:val="45A80DAF"/>
    <w:rsid w:val="45BC5FF0"/>
    <w:rsid w:val="45D245B5"/>
    <w:rsid w:val="460B7E8C"/>
    <w:rsid w:val="462036D5"/>
    <w:rsid w:val="462F1B6A"/>
    <w:rsid w:val="463827CD"/>
    <w:rsid w:val="466731A2"/>
    <w:rsid w:val="46A00372"/>
    <w:rsid w:val="46A75BA4"/>
    <w:rsid w:val="46AE6F33"/>
    <w:rsid w:val="46E5454E"/>
    <w:rsid w:val="470A3548"/>
    <w:rsid w:val="471029C1"/>
    <w:rsid w:val="471E7C15"/>
    <w:rsid w:val="479C322F"/>
    <w:rsid w:val="47A06BA7"/>
    <w:rsid w:val="47A10846"/>
    <w:rsid w:val="47E0136E"/>
    <w:rsid w:val="47FB1D04"/>
    <w:rsid w:val="480908C5"/>
    <w:rsid w:val="48396CD0"/>
    <w:rsid w:val="4847510B"/>
    <w:rsid w:val="488E4815"/>
    <w:rsid w:val="48FA645F"/>
    <w:rsid w:val="490270C2"/>
    <w:rsid w:val="49153299"/>
    <w:rsid w:val="49247038"/>
    <w:rsid w:val="49543DC1"/>
    <w:rsid w:val="49A5461D"/>
    <w:rsid w:val="49D30EA1"/>
    <w:rsid w:val="49E73152"/>
    <w:rsid w:val="49FC5C1D"/>
    <w:rsid w:val="4A143551"/>
    <w:rsid w:val="4A2B43F6"/>
    <w:rsid w:val="4AAF6DD6"/>
    <w:rsid w:val="4AB80380"/>
    <w:rsid w:val="4AC05487"/>
    <w:rsid w:val="4BB02E05"/>
    <w:rsid w:val="4BB328F5"/>
    <w:rsid w:val="4BFD4B91"/>
    <w:rsid w:val="4C43011D"/>
    <w:rsid w:val="4C43303F"/>
    <w:rsid w:val="4C4C4197"/>
    <w:rsid w:val="4C8524E4"/>
    <w:rsid w:val="4D16138E"/>
    <w:rsid w:val="4D665E71"/>
    <w:rsid w:val="4D896004"/>
    <w:rsid w:val="4DD80599"/>
    <w:rsid w:val="4DE17BEE"/>
    <w:rsid w:val="4DF22036"/>
    <w:rsid w:val="4E08517B"/>
    <w:rsid w:val="4E165AE9"/>
    <w:rsid w:val="4E3F4EAF"/>
    <w:rsid w:val="4E854A1D"/>
    <w:rsid w:val="4ECA0682"/>
    <w:rsid w:val="4F0370B0"/>
    <w:rsid w:val="4F3323EE"/>
    <w:rsid w:val="4F477F24"/>
    <w:rsid w:val="4F560168"/>
    <w:rsid w:val="4F8D12D9"/>
    <w:rsid w:val="4FC357FD"/>
    <w:rsid w:val="502618E8"/>
    <w:rsid w:val="50946A52"/>
    <w:rsid w:val="50F419E6"/>
    <w:rsid w:val="51183927"/>
    <w:rsid w:val="512E314A"/>
    <w:rsid w:val="515626A1"/>
    <w:rsid w:val="516E79EA"/>
    <w:rsid w:val="51B15B29"/>
    <w:rsid w:val="520420FD"/>
    <w:rsid w:val="52081BED"/>
    <w:rsid w:val="52100AA2"/>
    <w:rsid w:val="52195BA8"/>
    <w:rsid w:val="522A0329"/>
    <w:rsid w:val="525C5A95"/>
    <w:rsid w:val="526A6404"/>
    <w:rsid w:val="5288688A"/>
    <w:rsid w:val="52A15B9E"/>
    <w:rsid w:val="52B14033"/>
    <w:rsid w:val="52EF4B5B"/>
    <w:rsid w:val="534529CD"/>
    <w:rsid w:val="53582700"/>
    <w:rsid w:val="53642E53"/>
    <w:rsid w:val="53DC50DF"/>
    <w:rsid w:val="54007866"/>
    <w:rsid w:val="54352A41"/>
    <w:rsid w:val="547277F2"/>
    <w:rsid w:val="54BE2A37"/>
    <w:rsid w:val="54CB0CB0"/>
    <w:rsid w:val="54CF254E"/>
    <w:rsid w:val="55436361"/>
    <w:rsid w:val="557B0928"/>
    <w:rsid w:val="55A75279"/>
    <w:rsid w:val="55C67DF5"/>
    <w:rsid w:val="55E55DA1"/>
    <w:rsid w:val="560E7CB4"/>
    <w:rsid w:val="562D0DA1"/>
    <w:rsid w:val="56694C24"/>
    <w:rsid w:val="567D6B73"/>
    <w:rsid w:val="569D6B5A"/>
    <w:rsid w:val="56CE7A99"/>
    <w:rsid w:val="56D17AE6"/>
    <w:rsid w:val="56DA342C"/>
    <w:rsid w:val="57E00F16"/>
    <w:rsid w:val="57F4051E"/>
    <w:rsid w:val="588E0972"/>
    <w:rsid w:val="58975A79"/>
    <w:rsid w:val="589D3C92"/>
    <w:rsid w:val="58A3441E"/>
    <w:rsid w:val="58AD0DF8"/>
    <w:rsid w:val="58B77EC9"/>
    <w:rsid w:val="58D740C7"/>
    <w:rsid w:val="590429E2"/>
    <w:rsid w:val="590A0E88"/>
    <w:rsid w:val="592941F7"/>
    <w:rsid w:val="59740C68"/>
    <w:rsid w:val="59AF6DF2"/>
    <w:rsid w:val="59B63CDD"/>
    <w:rsid w:val="59B937CD"/>
    <w:rsid w:val="59EF71EF"/>
    <w:rsid w:val="59F667CF"/>
    <w:rsid w:val="5A1B4488"/>
    <w:rsid w:val="5A533C21"/>
    <w:rsid w:val="5A8C2C8F"/>
    <w:rsid w:val="5A9160D0"/>
    <w:rsid w:val="5AAD30FF"/>
    <w:rsid w:val="5AAE70AA"/>
    <w:rsid w:val="5AC964A6"/>
    <w:rsid w:val="5AD3266C"/>
    <w:rsid w:val="5AE27CEB"/>
    <w:rsid w:val="5B072B5F"/>
    <w:rsid w:val="5B351579"/>
    <w:rsid w:val="5B4812AC"/>
    <w:rsid w:val="5BE07737"/>
    <w:rsid w:val="5BF1724E"/>
    <w:rsid w:val="5C1C1BA0"/>
    <w:rsid w:val="5C515F3F"/>
    <w:rsid w:val="5C7B745F"/>
    <w:rsid w:val="5C8207EE"/>
    <w:rsid w:val="5C95407D"/>
    <w:rsid w:val="5CA16EC6"/>
    <w:rsid w:val="5CE13766"/>
    <w:rsid w:val="5D131446"/>
    <w:rsid w:val="5D333E91"/>
    <w:rsid w:val="5D360C6B"/>
    <w:rsid w:val="5DC42740"/>
    <w:rsid w:val="5DF748C4"/>
    <w:rsid w:val="5E6A153A"/>
    <w:rsid w:val="5E710B1A"/>
    <w:rsid w:val="5EB915BA"/>
    <w:rsid w:val="5EBB7FE7"/>
    <w:rsid w:val="5ED35331"/>
    <w:rsid w:val="5F096FA4"/>
    <w:rsid w:val="5F1C7B6C"/>
    <w:rsid w:val="6018777C"/>
    <w:rsid w:val="60457B68"/>
    <w:rsid w:val="608A5EC3"/>
    <w:rsid w:val="60A2320D"/>
    <w:rsid w:val="60DC49D8"/>
    <w:rsid w:val="610E08A2"/>
    <w:rsid w:val="610E43FE"/>
    <w:rsid w:val="61897F29"/>
    <w:rsid w:val="61D5316E"/>
    <w:rsid w:val="61DF188E"/>
    <w:rsid w:val="61F73B8C"/>
    <w:rsid w:val="620121B5"/>
    <w:rsid w:val="6205712B"/>
    <w:rsid w:val="62482C6F"/>
    <w:rsid w:val="627209BD"/>
    <w:rsid w:val="627B3D15"/>
    <w:rsid w:val="62A768B8"/>
    <w:rsid w:val="62CA41D0"/>
    <w:rsid w:val="62D12479"/>
    <w:rsid w:val="62E0626E"/>
    <w:rsid w:val="63387E58"/>
    <w:rsid w:val="63620A31"/>
    <w:rsid w:val="63936E3D"/>
    <w:rsid w:val="63AE1EC8"/>
    <w:rsid w:val="63B03E93"/>
    <w:rsid w:val="63C4349A"/>
    <w:rsid w:val="63CD67F3"/>
    <w:rsid w:val="64BB5496"/>
    <w:rsid w:val="64ED07CF"/>
    <w:rsid w:val="64F34037"/>
    <w:rsid w:val="6502071E"/>
    <w:rsid w:val="653C0D91"/>
    <w:rsid w:val="657D5FF6"/>
    <w:rsid w:val="66486604"/>
    <w:rsid w:val="6660394E"/>
    <w:rsid w:val="66650F64"/>
    <w:rsid w:val="66886F6B"/>
    <w:rsid w:val="669058B5"/>
    <w:rsid w:val="669E4476"/>
    <w:rsid w:val="66A355E9"/>
    <w:rsid w:val="66B912B0"/>
    <w:rsid w:val="66EC3434"/>
    <w:rsid w:val="67346733"/>
    <w:rsid w:val="6790723B"/>
    <w:rsid w:val="67C1666E"/>
    <w:rsid w:val="684A6664"/>
    <w:rsid w:val="684F1A6C"/>
    <w:rsid w:val="685C6397"/>
    <w:rsid w:val="686A0AB4"/>
    <w:rsid w:val="689618A9"/>
    <w:rsid w:val="68AD6BF3"/>
    <w:rsid w:val="690031C6"/>
    <w:rsid w:val="69194288"/>
    <w:rsid w:val="695B21AB"/>
    <w:rsid w:val="696C085C"/>
    <w:rsid w:val="69715E72"/>
    <w:rsid w:val="69787200"/>
    <w:rsid w:val="699D27C3"/>
    <w:rsid w:val="69B67D29"/>
    <w:rsid w:val="69D34437"/>
    <w:rsid w:val="69F10D61"/>
    <w:rsid w:val="6A2829D5"/>
    <w:rsid w:val="6A303637"/>
    <w:rsid w:val="6A386990"/>
    <w:rsid w:val="6B0F5943"/>
    <w:rsid w:val="6B3929BF"/>
    <w:rsid w:val="6B735ED1"/>
    <w:rsid w:val="6B851761"/>
    <w:rsid w:val="6C232D57"/>
    <w:rsid w:val="6C303DC2"/>
    <w:rsid w:val="6C496C32"/>
    <w:rsid w:val="6C75046D"/>
    <w:rsid w:val="6C861C34"/>
    <w:rsid w:val="6CA65E33"/>
    <w:rsid w:val="6CE67F73"/>
    <w:rsid w:val="6CE8644B"/>
    <w:rsid w:val="6CF50B68"/>
    <w:rsid w:val="6D4573FA"/>
    <w:rsid w:val="6D470AC9"/>
    <w:rsid w:val="6D513FF0"/>
    <w:rsid w:val="6DD10C8D"/>
    <w:rsid w:val="6DD54C21"/>
    <w:rsid w:val="6E0A23F1"/>
    <w:rsid w:val="6E1F40EF"/>
    <w:rsid w:val="6E313E22"/>
    <w:rsid w:val="6E55366C"/>
    <w:rsid w:val="6E5D69C5"/>
    <w:rsid w:val="6EDA6267"/>
    <w:rsid w:val="6F2B4B35"/>
    <w:rsid w:val="6F343BCA"/>
    <w:rsid w:val="6F40431D"/>
    <w:rsid w:val="6F4D4C8B"/>
    <w:rsid w:val="6F614293"/>
    <w:rsid w:val="6FE4739E"/>
    <w:rsid w:val="6FF45CB7"/>
    <w:rsid w:val="702746E5"/>
    <w:rsid w:val="705067E1"/>
    <w:rsid w:val="70732B6A"/>
    <w:rsid w:val="70765B1C"/>
    <w:rsid w:val="708244C1"/>
    <w:rsid w:val="708F6BDE"/>
    <w:rsid w:val="70B22147"/>
    <w:rsid w:val="70FF1FB5"/>
    <w:rsid w:val="712612F0"/>
    <w:rsid w:val="71753F94"/>
    <w:rsid w:val="717E6854"/>
    <w:rsid w:val="7185070D"/>
    <w:rsid w:val="71AF5789"/>
    <w:rsid w:val="71CC633B"/>
    <w:rsid w:val="72402885"/>
    <w:rsid w:val="727367B7"/>
    <w:rsid w:val="727F33AE"/>
    <w:rsid w:val="734D1295"/>
    <w:rsid w:val="73A56E44"/>
    <w:rsid w:val="73CE5982"/>
    <w:rsid w:val="7416564C"/>
    <w:rsid w:val="744523D5"/>
    <w:rsid w:val="74CE5F27"/>
    <w:rsid w:val="74F5006C"/>
    <w:rsid w:val="74F51705"/>
    <w:rsid w:val="74F55BA9"/>
    <w:rsid w:val="751555FD"/>
    <w:rsid w:val="752124FA"/>
    <w:rsid w:val="75383CE8"/>
    <w:rsid w:val="753C37D8"/>
    <w:rsid w:val="755A5A0C"/>
    <w:rsid w:val="755C79D6"/>
    <w:rsid w:val="758B02BC"/>
    <w:rsid w:val="76320737"/>
    <w:rsid w:val="768D3BBF"/>
    <w:rsid w:val="769F401E"/>
    <w:rsid w:val="76A70496"/>
    <w:rsid w:val="76B15B00"/>
    <w:rsid w:val="76B34C0F"/>
    <w:rsid w:val="76BA0E58"/>
    <w:rsid w:val="76C770D1"/>
    <w:rsid w:val="76F679B7"/>
    <w:rsid w:val="775D0F49"/>
    <w:rsid w:val="777F5BFE"/>
    <w:rsid w:val="77862AF0"/>
    <w:rsid w:val="78160310"/>
    <w:rsid w:val="781E1AEC"/>
    <w:rsid w:val="782642CC"/>
    <w:rsid w:val="78D13B60"/>
    <w:rsid w:val="790C1713"/>
    <w:rsid w:val="792D398F"/>
    <w:rsid w:val="795A247F"/>
    <w:rsid w:val="799C2A97"/>
    <w:rsid w:val="79CD0EA3"/>
    <w:rsid w:val="7A396538"/>
    <w:rsid w:val="7A425194"/>
    <w:rsid w:val="7A932B25"/>
    <w:rsid w:val="7ADB7627"/>
    <w:rsid w:val="7AF67F85"/>
    <w:rsid w:val="7AFB1A3F"/>
    <w:rsid w:val="7B046B46"/>
    <w:rsid w:val="7B0E3521"/>
    <w:rsid w:val="7B6718DB"/>
    <w:rsid w:val="7B944376"/>
    <w:rsid w:val="7BBC3EC2"/>
    <w:rsid w:val="7BC462D5"/>
    <w:rsid w:val="7BD77DB7"/>
    <w:rsid w:val="7BFC15CB"/>
    <w:rsid w:val="7C482A62"/>
    <w:rsid w:val="7C6158D2"/>
    <w:rsid w:val="7C745605"/>
    <w:rsid w:val="7C991510"/>
    <w:rsid w:val="7D0A78AE"/>
    <w:rsid w:val="7D11554A"/>
    <w:rsid w:val="7D1F7C67"/>
    <w:rsid w:val="7D456FA2"/>
    <w:rsid w:val="7D475C11"/>
    <w:rsid w:val="7E2B43EA"/>
    <w:rsid w:val="7E492A7C"/>
    <w:rsid w:val="7E53749D"/>
    <w:rsid w:val="7E5F22E5"/>
    <w:rsid w:val="7E7878E9"/>
    <w:rsid w:val="7ED44A81"/>
    <w:rsid w:val="7EDB5E10"/>
    <w:rsid w:val="7F1E3F4E"/>
    <w:rsid w:val="7F3F1C35"/>
    <w:rsid w:val="7F4734A5"/>
    <w:rsid w:val="7F983D01"/>
    <w:rsid w:val="7FC307D4"/>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5"/>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cs="Arial"/>
      <w:b/>
      <w:bCs/>
      <w:sz w:val="28"/>
      <w:szCs w:val="28"/>
    </w:rPr>
  </w:style>
  <w:style w:type="paragraph" w:styleId="7">
    <w:name w:val="heading 5"/>
    <w:basedOn w:val="1"/>
    <w:next w:val="5"/>
    <w:qFormat/>
    <w:uiPriority w:val="0"/>
    <w:pPr>
      <w:keepNext/>
      <w:autoSpaceDE w:val="0"/>
      <w:autoSpaceDN w:val="0"/>
      <w:adjustRightInd w:val="0"/>
      <w:outlineLvl w:val="4"/>
    </w:pPr>
    <w:rPr>
      <w:rFonts w:ascii="宋体"/>
      <w:color w:val="000000"/>
      <w:kern w:val="0"/>
      <w:sz w:val="28"/>
      <w:szCs w:val="28"/>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420"/>
    </w:pPr>
  </w:style>
  <w:style w:type="paragraph" w:styleId="8">
    <w:name w:val="Body Text"/>
    <w:basedOn w:val="1"/>
    <w:next w:val="1"/>
    <w:autoRedefine/>
    <w:qFormat/>
    <w:uiPriority w:val="0"/>
    <w:pPr>
      <w:spacing w:after="120"/>
    </w:pPr>
  </w:style>
  <w:style w:type="paragraph" w:styleId="9">
    <w:name w:val="Plain Text"/>
    <w:basedOn w:val="1"/>
    <w:qFormat/>
    <w:uiPriority w:val="0"/>
    <w:rPr>
      <w:rFonts w:ascii="宋体" w:hAnsi="Courier New"/>
      <w:szCs w:val="21"/>
    </w:rPr>
  </w:style>
  <w:style w:type="paragraph" w:styleId="10">
    <w:name w:val="Body Text Indent 2"/>
    <w:basedOn w:val="1"/>
    <w:qFormat/>
    <w:uiPriority w:val="0"/>
    <w:pPr>
      <w:spacing w:after="120" w:line="480" w:lineRule="auto"/>
      <w:ind w:left="420" w:leftChars="200"/>
    </w:p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uiPriority w:val="0"/>
    <w:pPr>
      <w:spacing w:before="120" w:after="120"/>
      <w:jc w:val="left"/>
    </w:pPr>
    <w:rPr>
      <w:b/>
      <w:bCs/>
      <w:caps/>
      <w:sz w:val="20"/>
    </w:rPr>
  </w:style>
  <w:style w:type="paragraph" w:styleId="14">
    <w:name w:val="Normal (Web)"/>
    <w:basedOn w:val="1"/>
    <w:qFormat/>
    <w:uiPriority w:val="0"/>
    <w:rPr>
      <w:sz w:val="24"/>
    </w:rPr>
  </w:style>
  <w:style w:type="paragraph" w:styleId="15">
    <w:name w:val="Body Text First Indent"/>
    <w:basedOn w:val="1"/>
    <w:qFormat/>
    <w:uiPriority w:val="0"/>
    <w:pPr>
      <w:spacing w:line="360" w:lineRule="auto"/>
      <w:ind w:firstLine="200" w:firstLineChars="200"/>
    </w:pPr>
    <w:rPr>
      <w:rFonts w:ascii="仿宋_GB2312" w:eastAsia="仿宋_GB2312"/>
      <w:sz w:val="30"/>
      <w:szCs w:val="30"/>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autoRedefine/>
    <w:qFormat/>
    <w:uiPriority w:val="0"/>
  </w:style>
  <w:style w:type="character" w:styleId="20">
    <w:name w:val="Hyperlink"/>
    <w:basedOn w:val="18"/>
    <w:qFormat/>
    <w:uiPriority w:val="0"/>
    <w:rPr>
      <w:color w:val="0000FF"/>
      <w:u w:val="none"/>
    </w:rPr>
  </w:style>
  <w:style w:type="paragraph" w:customStyle="1" w:styleId="21">
    <w:name w:val="BodyText1I2"/>
    <w:basedOn w:val="22"/>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22">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3">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 w:type="paragraph" w:customStyle="1" w:styleId="24">
    <w:name w:val="TOC 标题1"/>
    <w:unhideWhenUsed/>
    <w:qFormat/>
    <w:uiPriority w:val="0"/>
    <w:rPr>
      <w:rFonts w:ascii="Times New Roman" w:hAnsi="Times New Roman" w:eastAsia="宋体" w:cs="Times New Roman"/>
      <w:lang w:val="en-US" w:eastAsia="zh-CN" w:bidi="ar-SA"/>
    </w:rPr>
  </w:style>
  <w:style w:type="character" w:customStyle="1" w:styleId="25">
    <w:name w:val="NormalCharacter"/>
    <w:autoRedefine/>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22876</Words>
  <Characters>24283</Characters>
  <Lines>0</Lines>
  <Paragraphs>0</Paragraphs>
  <TotalTime>1</TotalTime>
  <ScaleCrop>false</ScaleCrop>
  <LinksUpToDate>false</LinksUpToDate>
  <CharactersWithSpaces>25410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2016°</cp:lastModifiedBy>
  <cp:lastPrinted>2025-09-22T01:03:00Z</cp:lastPrinted>
  <dcterms:modified xsi:type="dcterms:W3CDTF">2026-04-08T09:36:02Z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FCE480AF7E854D609D1E84D52A112B85_13</vt:lpwstr>
  </property>
  <property fmtid="{D5CDD505-2E9C-101B-9397-08002B2CF9AE}" pid="4" name="KSOTemplateDocerSaveRecord">
    <vt:lpwstr>eyJoZGlkIjoiMTNkN2ZjN2FlZTg3OWMxODhlNzNiYzZkNDVhMjY3NTIiLCJ1c2VySWQiOiI0MTg0NjM5NDQifQ==</vt:lpwstr>
  </property>
</Properties>
</file>