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104A4">
      <w:pPr>
        <w:pStyle w:val="12"/>
        <w:spacing w:line="480" w:lineRule="auto"/>
        <w:rPr>
          <w:rFonts w:ascii="宋体" w:hAnsi="宋体" w:cs="宋体"/>
          <w:color w:val="auto"/>
          <w:highlight w:val="none"/>
        </w:rPr>
      </w:pPr>
    </w:p>
    <w:p w14:paraId="33552D7C">
      <w:pPr>
        <w:rPr>
          <w:rFonts w:ascii="宋体" w:hAnsi="宋体" w:cs="宋体"/>
          <w:color w:val="auto"/>
          <w:highlight w:val="none"/>
        </w:rPr>
      </w:pPr>
    </w:p>
    <w:p w14:paraId="671FF28B">
      <w:pPr>
        <w:rPr>
          <w:rFonts w:ascii="宋体" w:hAnsi="宋体" w:cs="宋体"/>
          <w:color w:val="auto"/>
          <w:highlight w:val="none"/>
        </w:rPr>
      </w:pPr>
    </w:p>
    <w:p w14:paraId="6AEA1F19">
      <w:pPr>
        <w:spacing w:line="600" w:lineRule="exact"/>
        <w:jc w:val="center"/>
        <w:outlineLvl w:val="0"/>
        <w:rPr>
          <w:rFonts w:hint="eastAsia" w:ascii="宋体" w:hAnsi="宋体" w:eastAsia="宋体" w:cs="宋体"/>
          <w:b/>
          <w:bCs/>
          <w:color w:val="auto"/>
          <w:sz w:val="96"/>
          <w:szCs w:val="160"/>
          <w:highlight w:val="none"/>
          <w:lang w:eastAsia="zh-CN"/>
        </w:rPr>
      </w:pPr>
      <w:r>
        <w:rPr>
          <w:rFonts w:hint="eastAsia"/>
          <w:b/>
          <w:bCs/>
          <w:color w:val="auto"/>
          <w:sz w:val="44"/>
          <w:szCs w:val="44"/>
          <w:highlight w:val="none"/>
          <w:lang w:eastAsia="zh-CN"/>
        </w:rPr>
        <w:t>响水县大有镇康庄村“学前路到东直河堆路”改造工程</w:t>
      </w:r>
    </w:p>
    <w:p w14:paraId="6229D13B">
      <w:pPr>
        <w:spacing w:line="600" w:lineRule="exact"/>
        <w:jc w:val="center"/>
        <w:rPr>
          <w:rFonts w:ascii="宋体" w:hAnsi="宋体" w:cs="宋体"/>
          <w:b/>
          <w:bCs/>
          <w:color w:val="auto"/>
          <w:sz w:val="52"/>
          <w:szCs w:val="72"/>
          <w:highlight w:val="none"/>
        </w:rPr>
      </w:pPr>
    </w:p>
    <w:p w14:paraId="3BDB39C7">
      <w:pPr>
        <w:jc w:val="center"/>
        <w:rPr>
          <w:rFonts w:ascii="宋体" w:hAnsi="宋体" w:cs="宋体"/>
          <w:b/>
          <w:bCs/>
          <w:color w:val="auto"/>
          <w:sz w:val="92"/>
          <w:highlight w:val="none"/>
        </w:rPr>
      </w:pPr>
      <w:r>
        <w:rPr>
          <w:rFonts w:hint="eastAsia" w:ascii="宋体" w:hAnsi="宋体" w:cs="宋体"/>
          <w:b/>
          <w:bCs/>
          <w:color w:val="auto"/>
          <w:sz w:val="92"/>
          <w:highlight w:val="none"/>
        </w:rPr>
        <w:t>招标文件</w:t>
      </w:r>
    </w:p>
    <w:p w14:paraId="56CBD4D3">
      <w:pPr>
        <w:tabs>
          <w:tab w:val="left" w:pos="840"/>
        </w:tabs>
        <w:adjustRightInd w:val="0"/>
        <w:snapToGrid w:val="0"/>
        <w:jc w:val="center"/>
        <w:rPr>
          <w:rFonts w:hint="eastAsia" w:ascii="宋体" w:hAnsi="宋体" w:cs="宋体"/>
          <w:b/>
          <w:color w:val="auto"/>
          <w:spacing w:val="0"/>
          <w:kern w:val="0"/>
          <w:sz w:val="32"/>
          <w:szCs w:val="32"/>
          <w:highlight w:val="none"/>
          <w:lang w:val="en-US" w:eastAsia="zh-CN"/>
        </w:rPr>
      </w:pPr>
    </w:p>
    <w:p w14:paraId="4DB7D8A6">
      <w:pPr>
        <w:tabs>
          <w:tab w:val="left" w:pos="840"/>
        </w:tabs>
        <w:adjustRightInd w:val="0"/>
        <w:snapToGrid w:val="0"/>
        <w:jc w:val="center"/>
        <w:outlineLvl w:val="0"/>
        <w:rPr>
          <w:rFonts w:hint="eastAsia" w:ascii="宋体" w:hAnsi="宋体" w:cs="宋体"/>
          <w:b/>
          <w:color w:val="auto"/>
          <w:spacing w:val="0"/>
          <w:kern w:val="0"/>
          <w:sz w:val="32"/>
          <w:szCs w:val="32"/>
          <w:highlight w:val="none"/>
          <w:lang w:val="en-US" w:eastAsia="zh-CN"/>
        </w:rPr>
      </w:pPr>
      <w:bookmarkStart w:id="0" w:name="_Toc4332"/>
      <w:r>
        <w:rPr>
          <w:rFonts w:hint="eastAsia" w:ascii="宋体" w:hAnsi="宋体" w:cs="宋体"/>
          <w:b/>
          <w:color w:val="auto"/>
          <w:spacing w:val="0"/>
          <w:kern w:val="0"/>
          <w:sz w:val="32"/>
          <w:szCs w:val="32"/>
          <w:highlight w:val="none"/>
          <w:lang w:val="en-US" w:eastAsia="zh-CN"/>
        </w:rPr>
        <w:t>项目编号：</w:t>
      </w:r>
      <w:bookmarkEnd w:id="0"/>
      <w:r>
        <w:rPr>
          <w:rFonts w:hint="eastAsia" w:ascii="宋体" w:hAnsi="宋体" w:cs="宋体"/>
          <w:b/>
          <w:color w:val="auto"/>
          <w:spacing w:val="0"/>
          <w:kern w:val="0"/>
          <w:sz w:val="32"/>
          <w:szCs w:val="32"/>
          <w:highlight w:val="none"/>
          <w:lang w:val="en-US" w:eastAsia="zh-CN"/>
        </w:rPr>
        <w:t>320921104N24100003</w:t>
      </w:r>
    </w:p>
    <w:p w14:paraId="16D2E5D3">
      <w:pPr>
        <w:tabs>
          <w:tab w:val="left" w:pos="840"/>
        </w:tabs>
        <w:adjustRightInd w:val="0"/>
        <w:snapToGrid w:val="0"/>
        <w:jc w:val="center"/>
        <w:rPr>
          <w:rFonts w:hint="default" w:ascii="宋体" w:hAnsi="宋体" w:cs="宋体"/>
          <w:b/>
          <w:color w:val="auto"/>
          <w:spacing w:val="0"/>
          <w:kern w:val="0"/>
          <w:sz w:val="32"/>
          <w:szCs w:val="32"/>
          <w:highlight w:val="none"/>
          <w:lang w:val="en-US" w:eastAsia="zh-CN"/>
        </w:rPr>
      </w:pPr>
    </w:p>
    <w:p w14:paraId="4FAB1439">
      <w:pPr>
        <w:tabs>
          <w:tab w:val="left" w:pos="840"/>
        </w:tabs>
        <w:adjustRightInd w:val="0"/>
        <w:snapToGrid w:val="0"/>
        <w:ind w:firstLine="1446" w:firstLineChars="400"/>
        <w:jc w:val="left"/>
        <w:rPr>
          <w:rFonts w:ascii="宋体" w:hAnsi="宋体" w:cs="宋体"/>
          <w:b/>
          <w:color w:val="auto"/>
          <w:sz w:val="36"/>
          <w:szCs w:val="36"/>
          <w:highlight w:val="none"/>
        </w:rPr>
      </w:pPr>
    </w:p>
    <w:p w14:paraId="44CCCDA3">
      <w:pPr>
        <w:spacing w:line="480" w:lineRule="auto"/>
        <w:rPr>
          <w:rFonts w:ascii="宋体" w:hAnsi="宋体" w:cs="宋体"/>
          <w:b/>
          <w:bCs/>
          <w:color w:val="auto"/>
          <w:sz w:val="92"/>
          <w:highlight w:val="none"/>
        </w:rPr>
      </w:pPr>
    </w:p>
    <w:p w14:paraId="3477EBCC">
      <w:pPr>
        <w:spacing w:line="480" w:lineRule="auto"/>
        <w:rPr>
          <w:rFonts w:ascii="宋体" w:hAnsi="宋体" w:cs="宋体"/>
          <w:b/>
          <w:color w:val="auto"/>
          <w:sz w:val="28"/>
          <w:szCs w:val="36"/>
          <w:highlight w:val="none"/>
        </w:rPr>
      </w:pPr>
    </w:p>
    <w:p w14:paraId="4080AF11">
      <w:pPr>
        <w:pStyle w:val="19"/>
        <w:rPr>
          <w:rFonts w:ascii="宋体" w:hAnsi="宋体" w:cs="宋体"/>
          <w:b/>
          <w:color w:val="auto"/>
          <w:sz w:val="28"/>
          <w:szCs w:val="36"/>
          <w:highlight w:val="none"/>
        </w:rPr>
      </w:pPr>
    </w:p>
    <w:p w14:paraId="7F8E9103">
      <w:pPr>
        <w:rPr>
          <w:rFonts w:ascii="宋体" w:hAnsi="宋体" w:cs="宋体"/>
          <w:b/>
          <w:color w:val="auto"/>
          <w:sz w:val="28"/>
          <w:szCs w:val="36"/>
          <w:highlight w:val="none"/>
        </w:rPr>
      </w:pPr>
    </w:p>
    <w:p w14:paraId="37B47294">
      <w:pPr>
        <w:tabs>
          <w:tab w:val="left" w:pos="840"/>
        </w:tabs>
        <w:adjustRightInd w:val="0"/>
        <w:snapToGrid w:val="0"/>
        <w:spacing w:line="480" w:lineRule="auto"/>
        <w:ind w:firstLine="1084" w:firstLineChars="300"/>
        <w:rPr>
          <w:rFonts w:hint="eastAsia" w:ascii="宋体" w:hAnsi="宋体" w:eastAsia="宋体" w:cs="宋体"/>
          <w:b/>
          <w:color w:val="auto"/>
          <w:sz w:val="36"/>
          <w:szCs w:val="36"/>
          <w:highlight w:val="none"/>
          <w:lang w:eastAsia="zh-CN"/>
        </w:rPr>
      </w:pPr>
      <w:r>
        <w:rPr>
          <w:rFonts w:hint="eastAsia" w:ascii="宋体" w:hAnsi="宋体" w:cs="宋体"/>
          <w:b/>
          <w:color w:val="auto"/>
          <w:sz w:val="36"/>
          <w:szCs w:val="36"/>
          <w:highlight w:val="none"/>
        </w:rPr>
        <w:t>招</w:t>
      </w:r>
      <w:r>
        <w:rPr>
          <w:rFonts w:hint="eastAsia" w:ascii="宋体" w:hAnsi="宋体" w:cs="宋体"/>
          <w:b/>
          <w:color w:val="auto"/>
          <w:sz w:val="36"/>
          <w:szCs w:val="36"/>
          <w:highlight w:val="none"/>
          <w:lang w:val="en-US" w:eastAsia="zh-CN"/>
        </w:rPr>
        <w:t xml:space="preserve"> </w:t>
      </w:r>
      <w:r>
        <w:rPr>
          <w:rFonts w:hint="eastAsia" w:ascii="宋体" w:hAnsi="宋体" w:cs="宋体"/>
          <w:b/>
          <w:color w:val="auto"/>
          <w:sz w:val="36"/>
          <w:szCs w:val="36"/>
          <w:highlight w:val="none"/>
        </w:rPr>
        <w:t>标</w:t>
      </w:r>
      <w:r>
        <w:rPr>
          <w:rFonts w:hint="eastAsia" w:ascii="宋体" w:hAnsi="宋体" w:cs="宋体"/>
          <w:b/>
          <w:color w:val="auto"/>
          <w:sz w:val="36"/>
          <w:szCs w:val="36"/>
          <w:highlight w:val="none"/>
          <w:lang w:val="en-US" w:eastAsia="zh-CN"/>
        </w:rPr>
        <w:t xml:space="preserve"> </w:t>
      </w:r>
      <w:r>
        <w:rPr>
          <w:rFonts w:hint="eastAsia" w:ascii="宋体" w:hAnsi="宋体" w:cs="宋体"/>
          <w:b/>
          <w:color w:val="auto"/>
          <w:sz w:val="36"/>
          <w:szCs w:val="36"/>
          <w:highlight w:val="none"/>
        </w:rPr>
        <w:t>人：</w:t>
      </w:r>
      <w:r>
        <w:rPr>
          <w:rFonts w:hint="eastAsia" w:ascii="宋体" w:hAnsi="宋体" w:cs="宋体"/>
          <w:b/>
          <w:color w:val="auto"/>
          <w:sz w:val="36"/>
          <w:szCs w:val="36"/>
          <w:highlight w:val="none"/>
          <w:lang w:eastAsia="zh-CN"/>
        </w:rPr>
        <w:t>响水县大有镇康庄村村民委员会</w:t>
      </w:r>
    </w:p>
    <w:p w14:paraId="102EB89B">
      <w:pPr>
        <w:tabs>
          <w:tab w:val="left" w:pos="840"/>
        </w:tabs>
        <w:adjustRightInd w:val="0"/>
        <w:snapToGrid w:val="0"/>
        <w:spacing w:line="480" w:lineRule="auto"/>
        <w:ind w:firstLine="1084" w:firstLineChars="300"/>
        <w:jc w:val="left"/>
        <w:outlineLvl w:val="0"/>
        <w:rPr>
          <w:rFonts w:ascii="宋体" w:hAnsi="宋体" w:cs="宋体"/>
          <w:b/>
          <w:color w:val="auto"/>
          <w:sz w:val="32"/>
          <w:szCs w:val="32"/>
          <w:highlight w:val="none"/>
        </w:rPr>
      </w:pPr>
      <w:bookmarkStart w:id="1" w:name="_Toc30875"/>
      <w:r>
        <w:rPr>
          <w:rFonts w:hint="eastAsia" w:ascii="宋体" w:hAnsi="宋体" w:cs="宋体"/>
          <w:b/>
          <w:color w:val="auto"/>
          <w:sz w:val="36"/>
          <w:szCs w:val="36"/>
          <w:highlight w:val="none"/>
        </w:rPr>
        <w:t>招标代理：</w:t>
      </w:r>
      <w:r>
        <w:rPr>
          <w:rFonts w:hint="eastAsia" w:ascii="宋体" w:hAnsi="宋体" w:cs="宋体"/>
          <w:b/>
          <w:color w:val="auto"/>
          <w:sz w:val="36"/>
          <w:szCs w:val="36"/>
          <w:highlight w:val="none"/>
          <w:lang w:eastAsia="zh-CN"/>
        </w:rPr>
        <w:t>盐城鸿锦项目管理有限公司</w:t>
      </w:r>
      <w:bookmarkEnd w:id="1"/>
      <w:r>
        <w:rPr>
          <w:rFonts w:hint="eastAsia" w:ascii="宋体" w:hAnsi="宋体" w:cs="宋体"/>
          <w:b/>
          <w:color w:val="auto"/>
          <w:sz w:val="36"/>
          <w:szCs w:val="36"/>
          <w:highlight w:val="none"/>
        </w:rPr>
        <w:t xml:space="preserve"> </w:t>
      </w:r>
    </w:p>
    <w:p w14:paraId="0D4A4A56">
      <w:pPr>
        <w:tabs>
          <w:tab w:val="left" w:pos="840"/>
        </w:tabs>
        <w:adjustRightInd w:val="0"/>
        <w:snapToGrid w:val="0"/>
        <w:spacing w:line="480" w:lineRule="auto"/>
        <w:ind w:firstLine="3213" w:firstLineChars="1000"/>
        <w:jc w:val="left"/>
        <w:rPr>
          <w:rFonts w:hint="eastAsia" w:ascii="宋体" w:hAnsi="宋体" w:cs="宋体"/>
          <w:b/>
          <w:bCs/>
          <w:color w:val="auto"/>
          <w:sz w:val="32"/>
          <w:szCs w:val="32"/>
          <w:highlight w:val="none"/>
          <w:lang w:eastAsia="zh-CN"/>
        </w:rPr>
      </w:pPr>
    </w:p>
    <w:p w14:paraId="7CFF52EB">
      <w:pPr>
        <w:tabs>
          <w:tab w:val="left" w:pos="840"/>
        </w:tabs>
        <w:adjustRightInd w:val="0"/>
        <w:snapToGrid w:val="0"/>
        <w:spacing w:line="480" w:lineRule="auto"/>
        <w:ind w:firstLine="3213" w:firstLineChars="1000"/>
        <w:jc w:val="left"/>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lang w:eastAsia="zh-CN"/>
        </w:rPr>
        <w:t>二</w:t>
      </w:r>
      <w:r>
        <w:rPr>
          <w:rFonts w:hint="eastAsia" w:ascii="宋体" w:hAnsi="宋体" w:cs="宋体"/>
          <w:b/>
          <w:bCs/>
          <w:color w:val="auto"/>
          <w:sz w:val="32"/>
          <w:szCs w:val="32"/>
          <w:highlight w:val="none"/>
          <w:lang w:val="en-US" w:eastAsia="zh-CN"/>
        </w:rPr>
        <w:t>〇</w:t>
      </w:r>
      <w:r>
        <w:rPr>
          <w:rFonts w:hint="eastAsia" w:ascii="宋体" w:hAnsi="宋体" w:cs="宋体"/>
          <w:b/>
          <w:bCs/>
          <w:color w:val="auto"/>
          <w:sz w:val="32"/>
          <w:szCs w:val="32"/>
          <w:highlight w:val="none"/>
          <w:lang w:eastAsia="zh-CN"/>
        </w:rPr>
        <w:t>二四年</w:t>
      </w:r>
      <w:r>
        <w:rPr>
          <w:rFonts w:hint="eastAsia" w:ascii="宋体" w:hAnsi="宋体" w:cs="宋体"/>
          <w:b/>
          <w:bCs/>
          <w:color w:val="auto"/>
          <w:sz w:val="32"/>
          <w:szCs w:val="32"/>
          <w:highlight w:val="none"/>
          <w:lang w:val="en-US" w:eastAsia="zh-CN"/>
        </w:rPr>
        <w:t>十</w:t>
      </w:r>
      <w:r>
        <w:rPr>
          <w:rFonts w:hint="eastAsia" w:ascii="宋体" w:hAnsi="宋体" w:cs="宋体"/>
          <w:b/>
          <w:bCs/>
          <w:color w:val="auto"/>
          <w:sz w:val="32"/>
          <w:szCs w:val="32"/>
          <w:highlight w:val="none"/>
          <w:lang w:eastAsia="zh-CN"/>
        </w:rPr>
        <w:t>月</w:t>
      </w:r>
    </w:p>
    <w:p w14:paraId="1DD87665">
      <w:pPr>
        <w:pStyle w:val="3"/>
        <w:spacing w:line="360" w:lineRule="auto"/>
        <w:jc w:val="center"/>
        <w:outlineLvl w:val="9"/>
        <w:rPr>
          <w:rFonts w:hint="eastAsia" w:ascii="宋体" w:hAnsi="宋体" w:cs="宋体"/>
          <w:color w:val="auto"/>
          <w:szCs w:val="32"/>
          <w:highlight w:val="none"/>
        </w:rPr>
        <w:sectPr>
          <w:headerReference r:id="rId4" w:type="first"/>
          <w:headerReference r:id="rId3" w:type="default"/>
          <w:footerReference r:id="rId5" w:type="default"/>
          <w:pgSz w:w="11906" w:h="16838"/>
          <w:pgMar w:top="1418" w:right="1555" w:bottom="1418" w:left="1531" w:header="851" w:footer="992" w:gutter="0"/>
          <w:pgNumType w:start="0"/>
          <w:cols w:space="720" w:num="1"/>
          <w:titlePg/>
          <w:docGrid w:linePitch="312" w:charSpace="0"/>
        </w:sectPr>
      </w:pPr>
      <w:bookmarkStart w:id="2" w:name="_Toc214433858"/>
      <w:bookmarkStart w:id="3" w:name="_Toc227492215"/>
      <w:bookmarkStart w:id="4" w:name="_Toc302986165"/>
      <w:bookmarkStart w:id="5" w:name="_Toc227657458"/>
    </w:p>
    <w:sdt>
      <w:sdtPr>
        <w:rPr>
          <w:rFonts w:ascii="宋体" w:hAnsi="宋体" w:eastAsia="宋体" w:cs="Times New Roman"/>
          <w:color w:val="auto"/>
          <w:kern w:val="2"/>
          <w:sz w:val="44"/>
          <w:szCs w:val="44"/>
          <w:highlight w:val="none"/>
          <w:lang w:val="en-US" w:eastAsia="zh-CN" w:bidi="ar-SA"/>
        </w:rPr>
        <w:id w:val="147452277"/>
        <w15:color w:val="DBDBDB"/>
        <w:docPartObj>
          <w:docPartGallery w:val="Table of Contents"/>
          <w:docPartUnique/>
        </w:docPartObj>
      </w:sdtPr>
      <w:sdtEndPr>
        <w:rPr>
          <w:rFonts w:ascii="宋体" w:hAnsi="宋体" w:eastAsia="宋体" w:cs="Times New Roman"/>
          <w:color w:val="auto"/>
          <w:kern w:val="2"/>
          <w:sz w:val="44"/>
          <w:szCs w:val="44"/>
          <w:highlight w:val="none"/>
          <w:lang w:val="en-US" w:eastAsia="zh-CN" w:bidi="ar-SA"/>
        </w:rPr>
      </w:sdtEndPr>
      <w:sdtContent>
        <w:p w14:paraId="0A185ECE">
          <w:pPr>
            <w:spacing w:before="0" w:beforeLines="0" w:after="0" w:afterLines="0" w:line="240" w:lineRule="auto"/>
            <w:ind w:left="0" w:leftChars="0" w:right="0" w:rightChars="0" w:firstLine="0" w:firstLineChars="0"/>
            <w:jc w:val="center"/>
            <w:rPr>
              <w:color w:val="auto"/>
              <w:sz w:val="44"/>
              <w:szCs w:val="44"/>
              <w:highlight w:val="none"/>
            </w:rPr>
          </w:pPr>
          <w:r>
            <w:rPr>
              <w:rFonts w:ascii="宋体" w:hAnsi="宋体" w:eastAsia="宋体"/>
              <w:color w:val="auto"/>
              <w:sz w:val="44"/>
              <w:szCs w:val="44"/>
              <w:highlight w:val="none"/>
            </w:rPr>
            <w:t>目</w:t>
          </w:r>
          <w:r>
            <w:rPr>
              <w:rFonts w:hint="eastAsia" w:ascii="宋体" w:hAnsi="宋体" w:eastAsia="宋体"/>
              <w:color w:val="auto"/>
              <w:sz w:val="44"/>
              <w:szCs w:val="44"/>
              <w:highlight w:val="none"/>
              <w:lang w:val="en-US" w:eastAsia="zh-CN"/>
            </w:rPr>
            <w:t xml:space="preserve">    </w:t>
          </w:r>
          <w:r>
            <w:rPr>
              <w:rFonts w:ascii="宋体" w:hAnsi="宋体" w:eastAsia="宋体"/>
              <w:color w:val="auto"/>
              <w:sz w:val="44"/>
              <w:szCs w:val="44"/>
              <w:highlight w:val="none"/>
            </w:rPr>
            <w:t>录</w:t>
          </w:r>
        </w:p>
        <w:p w14:paraId="055C6917">
          <w:pPr>
            <w:pStyle w:val="29"/>
            <w:tabs>
              <w:tab w:val="right" w:leader="dot" w:pos="9240"/>
            </w:tabs>
            <w:spacing w:line="360" w:lineRule="auto"/>
            <w:rPr>
              <w:color w:val="auto"/>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5CFA490F">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_Toc1606 </w:instrText>
          </w:r>
          <w:r>
            <w:rPr>
              <w:color w:val="auto"/>
              <w:highlight w:val="none"/>
            </w:rPr>
            <w:fldChar w:fldCharType="separate"/>
          </w:r>
          <w:r>
            <w:rPr>
              <w:rFonts w:hint="eastAsia" w:ascii="宋体" w:hAnsi="宋体" w:cs="宋体"/>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_Toc1606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29E84094">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_Toc27788 </w:instrText>
          </w:r>
          <w:r>
            <w:rPr>
              <w:color w:val="auto"/>
              <w:highlight w:val="none"/>
            </w:rPr>
            <w:fldChar w:fldCharType="separate"/>
          </w:r>
          <w:r>
            <w:rPr>
              <w:rFonts w:hint="eastAsia" w:ascii="宋体" w:hAnsi="宋体" w:eastAsia="宋体" w:cs="宋体"/>
              <w:color w:val="auto"/>
              <w:szCs w:val="32"/>
              <w:highlight w:val="none"/>
            </w:rPr>
            <w:t xml:space="preserve">第二章 </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rPr>
            <w:t>投标人须知</w:t>
          </w:r>
          <w:r>
            <w:rPr>
              <w:color w:val="auto"/>
              <w:highlight w:val="none"/>
            </w:rPr>
            <w:tab/>
          </w:r>
          <w:r>
            <w:rPr>
              <w:color w:val="auto"/>
              <w:highlight w:val="none"/>
            </w:rPr>
            <w:fldChar w:fldCharType="begin"/>
          </w:r>
          <w:r>
            <w:rPr>
              <w:color w:val="auto"/>
              <w:highlight w:val="none"/>
            </w:rPr>
            <w:instrText xml:space="preserve"> PAGEREF _Toc27788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12B3CA87">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_Toc13209 </w:instrText>
          </w:r>
          <w:r>
            <w:rPr>
              <w:color w:val="auto"/>
              <w:highlight w:val="none"/>
            </w:rPr>
            <w:fldChar w:fldCharType="separate"/>
          </w:r>
          <w:r>
            <w:rPr>
              <w:rFonts w:hint="eastAsia" w:ascii="宋体" w:hAnsi="宋体" w:cs="宋体"/>
              <w:color w:val="auto"/>
              <w:kern w:val="0"/>
              <w:highlight w:val="none"/>
            </w:rPr>
            <w:t>投标人须知前附表</w:t>
          </w:r>
          <w:r>
            <w:rPr>
              <w:color w:val="auto"/>
              <w:highlight w:val="none"/>
            </w:rPr>
            <w:tab/>
          </w:r>
          <w:r>
            <w:rPr>
              <w:color w:val="auto"/>
              <w:highlight w:val="none"/>
            </w:rPr>
            <w:fldChar w:fldCharType="begin"/>
          </w:r>
          <w:r>
            <w:rPr>
              <w:color w:val="auto"/>
              <w:highlight w:val="none"/>
            </w:rPr>
            <w:instrText xml:space="preserve"> PAGEREF _Toc13209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3244C136">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_Toc14793 </w:instrText>
          </w:r>
          <w:r>
            <w:rPr>
              <w:color w:val="auto"/>
              <w:highlight w:val="none"/>
            </w:rPr>
            <w:fldChar w:fldCharType="separate"/>
          </w:r>
          <w:r>
            <w:rPr>
              <w:rFonts w:hint="eastAsia" w:ascii="宋体" w:hAnsi="宋体" w:eastAsia="宋体" w:cs="宋体"/>
              <w:color w:val="auto"/>
              <w:szCs w:val="32"/>
              <w:highlight w:val="none"/>
              <w:lang w:val="en-US" w:eastAsia="zh-CN"/>
            </w:rPr>
            <w:t>第三章  评标办法</w:t>
          </w:r>
          <w:r>
            <w:rPr>
              <w:color w:val="auto"/>
              <w:highlight w:val="none"/>
            </w:rPr>
            <w:tab/>
          </w:r>
          <w:r>
            <w:rPr>
              <w:color w:val="auto"/>
              <w:highlight w:val="none"/>
            </w:rPr>
            <w:fldChar w:fldCharType="begin"/>
          </w:r>
          <w:r>
            <w:rPr>
              <w:color w:val="auto"/>
              <w:highlight w:val="none"/>
            </w:rPr>
            <w:instrText xml:space="preserve"> PAGEREF _Toc14793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7A260926">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_Toc31329 </w:instrText>
          </w:r>
          <w:r>
            <w:rPr>
              <w:color w:val="auto"/>
              <w:highlight w:val="none"/>
            </w:rPr>
            <w:fldChar w:fldCharType="separate"/>
          </w:r>
          <w:r>
            <w:rPr>
              <w:rFonts w:hint="eastAsia" w:ascii="宋体" w:hAnsi="宋体" w:eastAsia="宋体" w:cs="宋体"/>
              <w:color w:val="auto"/>
              <w:szCs w:val="32"/>
              <w:highlight w:val="none"/>
              <w:lang w:val="en-US" w:eastAsia="zh-CN"/>
            </w:rPr>
            <w:t>第四章  合同条款及格式</w:t>
          </w:r>
          <w:r>
            <w:rPr>
              <w:color w:val="auto"/>
              <w:highlight w:val="none"/>
            </w:rPr>
            <w:tab/>
          </w:r>
          <w:r>
            <w:rPr>
              <w:color w:val="auto"/>
              <w:highlight w:val="none"/>
            </w:rPr>
            <w:fldChar w:fldCharType="begin"/>
          </w:r>
          <w:r>
            <w:rPr>
              <w:color w:val="auto"/>
              <w:highlight w:val="none"/>
            </w:rPr>
            <w:instrText xml:space="preserve"> PAGEREF _Toc31329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3FEFBABE">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_Toc20366 </w:instrText>
          </w:r>
          <w:r>
            <w:rPr>
              <w:color w:val="auto"/>
              <w:highlight w:val="none"/>
            </w:rPr>
            <w:fldChar w:fldCharType="separate"/>
          </w:r>
          <w:r>
            <w:rPr>
              <w:rFonts w:hint="eastAsia" w:ascii="宋体" w:hAnsi="宋体" w:eastAsia="宋体" w:cs="宋体"/>
              <w:color w:val="auto"/>
              <w:kern w:val="44"/>
              <w:szCs w:val="32"/>
              <w:highlight w:val="none"/>
              <w:lang w:val="en-US" w:eastAsia="zh-CN" w:bidi="ar-SA"/>
            </w:rPr>
            <w:t>第五章 工程量清单</w:t>
          </w:r>
          <w:r>
            <w:rPr>
              <w:color w:val="auto"/>
              <w:highlight w:val="none"/>
            </w:rPr>
            <w:tab/>
          </w:r>
          <w:r>
            <w:rPr>
              <w:color w:val="auto"/>
              <w:highlight w:val="none"/>
            </w:rPr>
            <w:fldChar w:fldCharType="begin"/>
          </w:r>
          <w:r>
            <w:rPr>
              <w:color w:val="auto"/>
              <w:highlight w:val="none"/>
            </w:rPr>
            <w:instrText xml:space="preserve"> PAGEREF _Toc20366 \h </w:instrText>
          </w:r>
          <w:r>
            <w:rPr>
              <w:color w:val="auto"/>
              <w:highlight w:val="none"/>
            </w:rPr>
            <w:fldChar w:fldCharType="separate"/>
          </w:r>
          <w:r>
            <w:rPr>
              <w:color w:val="auto"/>
              <w:highlight w:val="none"/>
            </w:rPr>
            <w:t>57</w:t>
          </w:r>
          <w:r>
            <w:rPr>
              <w:color w:val="auto"/>
              <w:highlight w:val="none"/>
            </w:rPr>
            <w:fldChar w:fldCharType="end"/>
          </w:r>
          <w:r>
            <w:rPr>
              <w:color w:val="auto"/>
              <w:highlight w:val="none"/>
            </w:rPr>
            <w:fldChar w:fldCharType="end"/>
          </w:r>
        </w:p>
        <w:p w14:paraId="458A209D">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_Toc6618 </w:instrText>
          </w:r>
          <w:r>
            <w:rPr>
              <w:color w:val="auto"/>
              <w:highlight w:val="none"/>
            </w:rPr>
            <w:fldChar w:fldCharType="separate"/>
          </w:r>
          <w:r>
            <w:rPr>
              <w:rFonts w:hint="eastAsia" w:ascii="宋体" w:hAnsi="宋体" w:eastAsia="宋体" w:cs="宋体"/>
              <w:color w:val="auto"/>
              <w:kern w:val="44"/>
              <w:szCs w:val="32"/>
              <w:highlight w:val="none"/>
              <w:lang w:val="en-US" w:eastAsia="zh-CN" w:bidi="ar-SA"/>
            </w:rPr>
            <w:t>第六章  投标文件格式</w:t>
          </w:r>
          <w:r>
            <w:rPr>
              <w:color w:val="auto"/>
              <w:highlight w:val="none"/>
            </w:rPr>
            <w:tab/>
          </w:r>
          <w:r>
            <w:rPr>
              <w:color w:val="auto"/>
              <w:highlight w:val="none"/>
            </w:rPr>
            <w:fldChar w:fldCharType="begin"/>
          </w:r>
          <w:r>
            <w:rPr>
              <w:color w:val="auto"/>
              <w:highlight w:val="none"/>
            </w:rPr>
            <w:instrText xml:space="preserve"> PAGEREF _Toc6618 \h </w:instrText>
          </w:r>
          <w:r>
            <w:rPr>
              <w:color w:val="auto"/>
              <w:highlight w:val="none"/>
            </w:rPr>
            <w:fldChar w:fldCharType="separate"/>
          </w:r>
          <w:r>
            <w:rPr>
              <w:color w:val="auto"/>
              <w:highlight w:val="none"/>
            </w:rPr>
            <w:t>58</w:t>
          </w:r>
          <w:r>
            <w:rPr>
              <w:color w:val="auto"/>
              <w:highlight w:val="none"/>
            </w:rPr>
            <w:fldChar w:fldCharType="end"/>
          </w:r>
          <w:r>
            <w:rPr>
              <w:color w:val="auto"/>
              <w:highlight w:val="none"/>
            </w:rPr>
            <w:fldChar w:fldCharType="end"/>
          </w:r>
        </w:p>
        <w:p w14:paraId="373663F3">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_Toc29035 </w:instrText>
          </w:r>
          <w:r>
            <w:rPr>
              <w:color w:val="auto"/>
              <w:highlight w:val="none"/>
            </w:rPr>
            <w:fldChar w:fldCharType="separate"/>
          </w:r>
          <w:r>
            <w:rPr>
              <w:rFonts w:hint="eastAsia" w:ascii="宋体" w:hAnsi="宋体" w:cs="宋体"/>
              <w:color w:val="auto"/>
              <w:kern w:val="0"/>
              <w:highlight w:val="none"/>
            </w:rPr>
            <w:t>目    录</w:t>
          </w:r>
          <w:r>
            <w:rPr>
              <w:color w:val="auto"/>
              <w:highlight w:val="none"/>
            </w:rPr>
            <w:tab/>
          </w:r>
          <w:r>
            <w:rPr>
              <w:color w:val="auto"/>
              <w:highlight w:val="none"/>
            </w:rPr>
            <w:fldChar w:fldCharType="begin"/>
          </w:r>
          <w:r>
            <w:rPr>
              <w:color w:val="auto"/>
              <w:highlight w:val="none"/>
            </w:rPr>
            <w:instrText xml:space="preserve"> PAGEREF _Toc29035 \h </w:instrText>
          </w:r>
          <w:r>
            <w:rPr>
              <w:color w:val="auto"/>
              <w:highlight w:val="none"/>
            </w:rPr>
            <w:fldChar w:fldCharType="separate"/>
          </w:r>
          <w:r>
            <w:rPr>
              <w:color w:val="auto"/>
              <w:highlight w:val="none"/>
            </w:rPr>
            <w:t>59</w:t>
          </w:r>
          <w:r>
            <w:rPr>
              <w:color w:val="auto"/>
              <w:highlight w:val="none"/>
            </w:rPr>
            <w:fldChar w:fldCharType="end"/>
          </w:r>
          <w:r>
            <w:rPr>
              <w:color w:val="auto"/>
              <w:highlight w:val="none"/>
            </w:rPr>
            <w:fldChar w:fldCharType="end"/>
          </w:r>
        </w:p>
        <w:p w14:paraId="50C9126B">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_Toc19343 </w:instrText>
          </w:r>
          <w:r>
            <w:rPr>
              <w:color w:val="auto"/>
              <w:highlight w:val="none"/>
            </w:rPr>
            <w:fldChar w:fldCharType="separate"/>
          </w:r>
          <w:r>
            <w:rPr>
              <w:rFonts w:hint="eastAsia" w:ascii="宋体" w:hAnsi="宋体" w:cs="宋体"/>
              <w:color w:val="auto"/>
              <w:kern w:val="0"/>
              <w:highlight w:val="none"/>
            </w:rPr>
            <w:t>（一）投 标 函</w:t>
          </w:r>
          <w:r>
            <w:rPr>
              <w:color w:val="auto"/>
              <w:highlight w:val="none"/>
            </w:rPr>
            <w:tab/>
          </w:r>
          <w:r>
            <w:rPr>
              <w:color w:val="auto"/>
              <w:highlight w:val="none"/>
            </w:rPr>
            <w:fldChar w:fldCharType="begin"/>
          </w:r>
          <w:r>
            <w:rPr>
              <w:color w:val="auto"/>
              <w:highlight w:val="none"/>
            </w:rPr>
            <w:instrText xml:space="preserve"> PAGEREF _Toc19343 \h </w:instrText>
          </w:r>
          <w:r>
            <w:rPr>
              <w:color w:val="auto"/>
              <w:highlight w:val="none"/>
            </w:rPr>
            <w:fldChar w:fldCharType="separate"/>
          </w:r>
          <w:r>
            <w:rPr>
              <w:color w:val="auto"/>
              <w:highlight w:val="none"/>
            </w:rPr>
            <w:t>60</w:t>
          </w:r>
          <w:r>
            <w:rPr>
              <w:color w:val="auto"/>
              <w:highlight w:val="none"/>
            </w:rPr>
            <w:fldChar w:fldCharType="end"/>
          </w:r>
          <w:r>
            <w:rPr>
              <w:color w:val="auto"/>
              <w:highlight w:val="none"/>
            </w:rPr>
            <w:fldChar w:fldCharType="end"/>
          </w:r>
        </w:p>
        <w:p w14:paraId="18A80372">
          <w:pPr>
            <w:pStyle w:val="29"/>
            <w:tabs>
              <w:tab w:val="right" w:leader="dot" w:pos="9240"/>
            </w:tabs>
            <w:spacing w:line="480" w:lineRule="auto"/>
            <w:rPr>
              <w:color w:val="auto"/>
              <w:highlight w:val="none"/>
            </w:rPr>
          </w:pPr>
          <w:r>
            <w:rPr>
              <w:color w:val="auto"/>
              <w:highlight w:val="none"/>
            </w:rPr>
            <w:fldChar w:fldCharType="begin"/>
          </w:r>
          <w:r>
            <w:rPr>
              <w:color w:val="auto"/>
              <w:highlight w:val="none"/>
            </w:rPr>
            <w:instrText xml:space="preserve"> HYPERLINK \l _Toc19984 </w:instrText>
          </w:r>
          <w:r>
            <w:rPr>
              <w:color w:val="auto"/>
              <w:highlight w:val="none"/>
            </w:rPr>
            <w:fldChar w:fldCharType="separate"/>
          </w:r>
          <w:r>
            <w:rPr>
              <w:rFonts w:hint="eastAsia" w:ascii="宋体" w:hAnsi="宋体" w:cs="宋体"/>
              <w:color w:val="auto"/>
              <w:kern w:val="0"/>
              <w:highlight w:val="none"/>
            </w:rPr>
            <w:t>（二）投标函附录</w:t>
          </w:r>
          <w:r>
            <w:rPr>
              <w:color w:val="auto"/>
              <w:highlight w:val="none"/>
            </w:rPr>
            <w:tab/>
          </w:r>
          <w:r>
            <w:rPr>
              <w:color w:val="auto"/>
              <w:highlight w:val="none"/>
            </w:rPr>
            <w:fldChar w:fldCharType="begin"/>
          </w:r>
          <w:r>
            <w:rPr>
              <w:color w:val="auto"/>
              <w:highlight w:val="none"/>
            </w:rPr>
            <w:instrText xml:space="preserve"> PAGEREF _Toc19984 \h </w:instrText>
          </w:r>
          <w:r>
            <w:rPr>
              <w:color w:val="auto"/>
              <w:highlight w:val="none"/>
            </w:rPr>
            <w:fldChar w:fldCharType="separate"/>
          </w:r>
          <w:r>
            <w:rPr>
              <w:color w:val="auto"/>
              <w:highlight w:val="none"/>
            </w:rPr>
            <w:t>61</w:t>
          </w:r>
          <w:r>
            <w:rPr>
              <w:color w:val="auto"/>
              <w:highlight w:val="none"/>
            </w:rPr>
            <w:fldChar w:fldCharType="end"/>
          </w:r>
          <w:r>
            <w:rPr>
              <w:color w:val="auto"/>
              <w:highlight w:val="none"/>
            </w:rPr>
            <w:fldChar w:fldCharType="end"/>
          </w:r>
        </w:p>
        <w:p w14:paraId="0EA52402">
          <w:pPr>
            <w:rPr>
              <w:color w:val="auto"/>
              <w:highlight w:val="none"/>
            </w:rPr>
          </w:pPr>
          <w:r>
            <w:rPr>
              <w:color w:val="auto"/>
              <w:highlight w:val="none"/>
            </w:rPr>
            <w:fldChar w:fldCharType="end"/>
          </w:r>
        </w:p>
      </w:sdtContent>
    </w:sdt>
    <w:p w14:paraId="1A94FC7E">
      <w:pPr>
        <w:rPr>
          <w:color w:val="auto"/>
          <w:highlight w:val="none"/>
        </w:rPr>
      </w:pPr>
    </w:p>
    <w:p w14:paraId="4A81C6EF">
      <w:pPr>
        <w:rPr>
          <w:color w:val="auto"/>
          <w:highlight w:val="none"/>
        </w:rPr>
      </w:pPr>
    </w:p>
    <w:p w14:paraId="0F5BD77F">
      <w:pPr>
        <w:rPr>
          <w:color w:val="auto"/>
          <w:highlight w:val="none"/>
        </w:rPr>
      </w:pPr>
    </w:p>
    <w:p w14:paraId="6878C32F">
      <w:pPr>
        <w:rPr>
          <w:color w:val="auto"/>
          <w:highlight w:val="none"/>
        </w:rPr>
      </w:pPr>
    </w:p>
    <w:p w14:paraId="255F7313">
      <w:pPr>
        <w:rPr>
          <w:color w:val="auto"/>
          <w:highlight w:val="none"/>
        </w:rPr>
      </w:pPr>
    </w:p>
    <w:p w14:paraId="532336E3">
      <w:pPr>
        <w:rPr>
          <w:color w:val="auto"/>
          <w:highlight w:val="none"/>
        </w:rPr>
      </w:pPr>
    </w:p>
    <w:p w14:paraId="70C43100">
      <w:pPr>
        <w:rPr>
          <w:color w:val="auto"/>
          <w:highlight w:val="none"/>
        </w:rPr>
      </w:pPr>
    </w:p>
    <w:p w14:paraId="7403D299">
      <w:pPr>
        <w:rPr>
          <w:color w:val="auto"/>
          <w:highlight w:val="none"/>
        </w:rPr>
      </w:pPr>
    </w:p>
    <w:p w14:paraId="705042DF">
      <w:pPr>
        <w:rPr>
          <w:color w:val="auto"/>
          <w:highlight w:val="none"/>
        </w:rPr>
      </w:pPr>
    </w:p>
    <w:p w14:paraId="1A666572">
      <w:pPr>
        <w:rPr>
          <w:color w:val="auto"/>
          <w:highlight w:val="none"/>
        </w:rPr>
      </w:pPr>
    </w:p>
    <w:p w14:paraId="720AB90D">
      <w:pPr>
        <w:rPr>
          <w:color w:val="auto"/>
          <w:highlight w:val="none"/>
        </w:rPr>
      </w:pPr>
    </w:p>
    <w:p w14:paraId="261AD03E">
      <w:pPr>
        <w:rPr>
          <w:color w:val="auto"/>
          <w:highlight w:val="none"/>
        </w:rPr>
      </w:pPr>
    </w:p>
    <w:p w14:paraId="7B1A6387">
      <w:pPr>
        <w:rPr>
          <w:color w:val="auto"/>
          <w:highlight w:val="none"/>
        </w:rPr>
      </w:pPr>
    </w:p>
    <w:p w14:paraId="46D26B4B">
      <w:pPr>
        <w:rPr>
          <w:color w:val="auto"/>
          <w:highlight w:val="none"/>
        </w:rPr>
      </w:pPr>
    </w:p>
    <w:p w14:paraId="7E263F21">
      <w:pPr>
        <w:rPr>
          <w:color w:val="auto"/>
          <w:highlight w:val="none"/>
        </w:rPr>
      </w:pPr>
    </w:p>
    <w:p w14:paraId="22F0D715">
      <w:pPr>
        <w:rPr>
          <w:color w:val="auto"/>
          <w:highlight w:val="none"/>
        </w:rPr>
      </w:pPr>
    </w:p>
    <w:p w14:paraId="5F6DFC44">
      <w:pPr>
        <w:rPr>
          <w:color w:val="auto"/>
          <w:highlight w:val="none"/>
        </w:rPr>
      </w:pPr>
    </w:p>
    <w:p w14:paraId="120B9563">
      <w:pPr>
        <w:rPr>
          <w:color w:val="auto"/>
          <w:highlight w:val="none"/>
        </w:rPr>
      </w:pPr>
    </w:p>
    <w:p w14:paraId="140AFF08">
      <w:pPr>
        <w:rPr>
          <w:color w:val="auto"/>
          <w:highlight w:val="none"/>
        </w:rPr>
      </w:pPr>
    </w:p>
    <w:p w14:paraId="064D92CB">
      <w:pPr>
        <w:rPr>
          <w:color w:val="auto"/>
          <w:highlight w:val="none"/>
        </w:rPr>
      </w:pPr>
    </w:p>
    <w:p w14:paraId="096E518B">
      <w:pPr>
        <w:rPr>
          <w:color w:val="auto"/>
          <w:highlight w:val="none"/>
        </w:rPr>
      </w:pPr>
    </w:p>
    <w:p w14:paraId="49E8FC55">
      <w:pPr>
        <w:rPr>
          <w:color w:val="auto"/>
          <w:highlight w:val="none"/>
        </w:rPr>
      </w:pPr>
    </w:p>
    <w:p w14:paraId="43515FED">
      <w:pPr>
        <w:rPr>
          <w:color w:val="auto"/>
          <w:highlight w:val="none"/>
        </w:rPr>
      </w:pPr>
    </w:p>
    <w:p w14:paraId="21689499">
      <w:pPr>
        <w:rPr>
          <w:color w:val="auto"/>
          <w:highlight w:val="none"/>
        </w:rPr>
      </w:pPr>
    </w:p>
    <w:p w14:paraId="48862765">
      <w:pPr>
        <w:rPr>
          <w:color w:val="auto"/>
          <w:highlight w:val="none"/>
        </w:rPr>
      </w:pPr>
    </w:p>
    <w:p w14:paraId="74AB7678">
      <w:pPr>
        <w:rPr>
          <w:color w:val="auto"/>
          <w:highlight w:val="none"/>
        </w:rPr>
      </w:pPr>
    </w:p>
    <w:p w14:paraId="649F3D93">
      <w:pPr>
        <w:rPr>
          <w:color w:val="auto"/>
          <w:highlight w:val="none"/>
        </w:rPr>
      </w:pPr>
    </w:p>
    <w:p w14:paraId="1D075733">
      <w:pPr>
        <w:rPr>
          <w:color w:val="auto"/>
          <w:highlight w:val="none"/>
        </w:rPr>
      </w:pPr>
    </w:p>
    <w:p w14:paraId="1B2C5EA3">
      <w:pPr>
        <w:pStyle w:val="3"/>
        <w:spacing w:line="360" w:lineRule="auto"/>
        <w:jc w:val="center"/>
        <w:outlineLvl w:val="0"/>
        <w:rPr>
          <w:rFonts w:ascii="宋体" w:hAnsi="宋体" w:cs="宋体"/>
          <w:color w:val="auto"/>
          <w:szCs w:val="32"/>
          <w:highlight w:val="none"/>
        </w:rPr>
      </w:pPr>
      <w:bookmarkStart w:id="6" w:name="_Toc1606"/>
      <w:r>
        <w:rPr>
          <w:rFonts w:hint="eastAsia" w:ascii="宋体" w:hAnsi="宋体" w:cs="宋体"/>
          <w:color w:val="auto"/>
          <w:szCs w:val="32"/>
          <w:highlight w:val="none"/>
        </w:rPr>
        <w:t>第一章  招标公告</w:t>
      </w:r>
      <w:bookmarkEnd w:id="6"/>
    </w:p>
    <w:p w14:paraId="3218E4B3">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盐城鸿锦项目管理有限公司</w:t>
      </w:r>
      <w:r>
        <w:rPr>
          <w:rFonts w:hint="eastAsia"/>
          <w:color w:val="auto"/>
          <w:sz w:val="21"/>
          <w:szCs w:val="21"/>
          <w:highlight w:val="none"/>
        </w:rPr>
        <w:t>受</w:t>
      </w:r>
      <w:r>
        <w:rPr>
          <w:rFonts w:hint="eastAsia"/>
          <w:color w:val="auto"/>
          <w:sz w:val="21"/>
          <w:szCs w:val="21"/>
          <w:highlight w:val="none"/>
          <w:lang w:val="en-US" w:eastAsia="zh-CN"/>
        </w:rPr>
        <w:t>响水县大有镇康庄村村民委员会</w:t>
      </w:r>
      <w:r>
        <w:rPr>
          <w:rFonts w:hint="eastAsia"/>
          <w:color w:val="auto"/>
          <w:sz w:val="21"/>
          <w:szCs w:val="21"/>
          <w:highlight w:val="none"/>
        </w:rPr>
        <w:t>委托</w:t>
      </w:r>
      <w:r>
        <w:rPr>
          <w:rFonts w:hint="eastAsia"/>
          <w:color w:val="auto"/>
          <w:sz w:val="21"/>
          <w:szCs w:val="21"/>
          <w:highlight w:val="none"/>
          <w:lang w:eastAsia="zh-CN"/>
        </w:rPr>
        <w:t>，</w:t>
      </w:r>
      <w:r>
        <w:rPr>
          <w:rFonts w:hint="eastAsia"/>
          <w:color w:val="auto"/>
          <w:sz w:val="21"/>
          <w:szCs w:val="21"/>
          <w:highlight w:val="none"/>
        </w:rPr>
        <w:t>就</w:t>
      </w:r>
      <w:r>
        <w:rPr>
          <w:rFonts w:hint="eastAsia"/>
          <w:color w:val="auto"/>
          <w:sz w:val="21"/>
          <w:szCs w:val="21"/>
          <w:highlight w:val="none"/>
          <w:lang w:val="en-US" w:eastAsia="zh-CN"/>
        </w:rPr>
        <w:t>响水县大有镇康庄村“学前路到东直河堆路”改造工程</w:t>
      </w:r>
      <w:r>
        <w:rPr>
          <w:rFonts w:hint="eastAsia"/>
          <w:color w:val="auto"/>
          <w:sz w:val="21"/>
          <w:szCs w:val="21"/>
          <w:highlight w:val="none"/>
        </w:rPr>
        <w:t>进行公开招标。</w:t>
      </w:r>
    </w:p>
    <w:p w14:paraId="02CF41EE">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一、项目内容：</w:t>
      </w:r>
    </w:p>
    <w:p w14:paraId="6C792EC4">
      <w:pPr>
        <w:pStyle w:val="21"/>
        <w:snapToGrid w:val="0"/>
        <w:spacing w:before="0" w:beforeAutospacing="0" w:after="0" w:afterAutospacing="0" w:line="500" w:lineRule="exact"/>
        <w:ind w:firstLine="420" w:firstLineChars="200"/>
        <w:jc w:val="both"/>
        <w:rPr>
          <w:rFonts w:hint="eastAsia"/>
          <w:color w:val="auto"/>
          <w:sz w:val="21"/>
          <w:szCs w:val="21"/>
          <w:highlight w:val="none"/>
          <w:lang w:eastAsia="zh-CN"/>
        </w:rPr>
      </w:pPr>
      <w:r>
        <w:rPr>
          <w:rFonts w:hint="eastAsia"/>
          <w:color w:val="auto"/>
          <w:sz w:val="21"/>
          <w:szCs w:val="21"/>
          <w:highlight w:val="none"/>
        </w:rPr>
        <w:t>1.1项目名称：</w:t>
      </w:r>
      <w:bookmarkStart w:id="7" w:name="OLE_LINK2"/>
      <w:r>
        <w:rPr>
          <w:rFonts w:hint="eastAsia"/>
          <w:color w:val="auto"/>
          <w:sz w:val="21"/>
          <w:szCs w:val="21"/>
          <w:highlight w:val="none"/>
          <w:lang w:val="en-US" w:eastAsia="zh-CN"/>
        </w:rPr>
        <w:t>响水县大有镇康庄村“学前路到东直河堆路”改造工程</w:t>
      </w:r>
    </w:p>
    <w:p w14:paraId="08D10787">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1.2</w:t>
      </w:r>
      <w:r>
        <w:rPr>
          <w:rFonts w:hint="eastAsia"/>
          <w:color w:val="auto"/>
          <w:sz w:val="21"/>
          <w:szCs w:val="21"/>
          <w:highlight w:val="none"/>
        </w:rPr>
        <w:t>资金来源：</w:t>
      </w:r>
      <w:bookmarkEnd w:id="7"/>
      <w:r>
        <w:rPr>
          <w:rFonts w:hint="eastAsia"/>
          <w:color w:val="auto"/>
          <w:sz w:val="21"/>
          <w:szCs w:val="21"/>
          <w:highlight w:val="none"/>
        </w:rPr>
        <w:t>已落实</w:t>
      </w:r>
    </w:p>
    <w:p w14:paraId="4B5DF11E">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1.3</w:t>
      </w:r>
      <w:bookmarkStart w:id="8" w:name="OLE_LINK3"/>
      <w:r>
        <w:rPr>
          <w:rFonts w:hint="eastAsia"/>
          <w:color w:val="auto"/>
          <w:sz w:val="21"/>
          <w:szCs w:val="21"/>
          <w:highlight w:val="none"/>
        </w:rPr>
        <w:t>招标方式：</w:t>
      </w:r>
      <w:bookmarkEnd w:id="8"/>
      <w:r>
        <w:rPr>
          <w:rFonts w:hint="eastAsia"/>
          <w:color w:val="auto"/>
          <w:sz w:val="21"/>
          <w:szCs w:val="21"/>
          <w:highlight w:val="none"/>
        </w:rPr>
        <w:t>公开招标</w:t>
      </w:r>
    </w:p>
    <w:p w14:paraId="7E369146">
      <w:pPr>
        <w:pStyle w:val="21"/>
        <w:snapToGrid w:val="0"/>
        <w:spacing w:before="0" w:beforeAutospacing="0" w:after="0" w:afterAutospacing="0" w:line="500" w:lineRule="exact"/>
        <w:ind w:firstLine="420" w:firstLineChars="200"/>
        <w:jc w:val="both"/>
        <w:rPr>
          <w:rFonts w:hint="eastAsia" w:eastAsia="宋体"/>
          <w:color w:val="auto"/>
          <w:sz w:val="21"/>
          <w:szCs w:val="21"/>
          <w:highlight w:val="none"/>
          <w:lang w:eastAsia="zh-CN"/>
        </w:rPr>
      </w:pPr>
      <w:r>
        <w:rPr>
          <w:rFonts w:hint="eastAsia"/>
          <w:color w:val="auto"/>
          <w:sz w:val="21"/>
          <w:szCs w:val="21"/>
          <w:highlight w:val="none"/>
        </w:rPr>
        <w:t>1.4</w:t>
      </w:r>
      <w:r>
        <w:rPr>
          <w:rFonts w:hint="eastAsia"/>
          <w:color w:val="auto"/>
          <w:sz w:val="21"/>
          <w:szCs w:val="21"/>
          <w:highlight w:val="none"/>
          <w:lang w:val="en-US" w:eastAsia="zh-CN"/>
        </w:rPr>
        <w:t>施工内容</w:t>
      </w:r>
      <w:r>
        <w:rPr>
          <w:rFonts w:hint="eastAsia"/>
          <w:color w:val="auto"/>
          <w:sz w:val="21"/>
          <w:szCs w:val="21"/>
          <w:highlight w:val="none"/>
        </w:rPr>
        <w:t>：详见招标人提供的工程量清单</w:t>
      </w:r>
    </w:p>
    <w:p w14:paraId="04D69F3D">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 xml:space="preserve">1.5 </w:t>
      </w:r>
      <w:bookmarkStart w:id="9" w:name="OLE_LINK7"/>
      <w:bookmarkStart w:id="10" w:name="OLE_LINK6"/>
      <w:r>
        <w:rPr>
          <w:rFonts w:hint="eastAsia"/>
          <w:color w:val="auto"/>
          <w:sz w:val="21"/>
          <w:szCs w:val="21"/>
          <w:highlight w:val="none"/>
        </w:rPr>
        <w:t>标</w:t>
      </w:r>
      <w:bookmarkEnd w:id="9"/>
      <w:r>
        <w:rPr>
          <w:rFonts w:hint="eastAsia"/>
          <w:color w:val="auto"/>
          <w:sz w:val="21"/>
          <w:szCs w:val="21"/>
          <w:highlight w:val="none"/>
        </w:rPr>
        <w:t>段划分：</w:t>
      </w:r>
      <w:bookmarkStart w:id="11" w:name="OLE_LINK5"/>
      <w:r>
        <w:rPr>
          <w:rFonts w:hint="eastAsia"/>
          <w:color w:val="auto"/>
          <w:sz w:val="21"/>
          <w:szCs w:val="21"/>
          <w:highlight w:val="none"/>
        </w:rPr>
        <w:t>一个</w:t>
      </w:r>
      <w:bookmarkEnd w:id="11"/>
      <w:r>
        <w:rPr>
          <w:rFonts w:hint="eastAsia"/>
          <w:color w:val="auto"/>
          <w:sz w:val="21"/>
          <w:szCs w:val="21"/>
          <w:highlight w:val="none"/>
        </w:rPr>
        <w:t>标段</w:t>
      </w:r>
      <w:bookmarkEnd w:id="10"/>
    </w:p>
    <w:p w14:paraId="2DF74EE4">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1.6质量要求：合格</w:t>
      </w:r>
      <w:bookmarkStart w:id="381" w:name="_GoBack"/>
      <w:bookmarkEnd w:id="381"/>
    </w:p>
    <w:p w14:paraId="64B0604C">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1.7计</w:t>
      </w:r>
      <w:r>
        <w:rPr>
          <w:rFonts w:hint="eastAsia"/>
          <w:color w:val="auto"/>
          <w:sz w:val="21"/>
          <w:szCs w:val="21"/>
          <w:highlight w:val="none"/>
        </w:rPr>
        <w:t>划工期：</w:t>
      </w:r>
      <w:r>
        <w:rPr>
          <w:rFonts w:hint="eastAsia"/>
          <w:color w:val="auto"/>
          <w:sz w:val="21"/>
          <w:szCs w:val="21"/>
          <w:highlight w:val="none"/>
          <w:u w:val="none"/>
          <w:lang w:val="en-US" w:eastAsia="zh-CN"/>
        </w:rPr>
        <w:t>35</w:t>
      </w:r>
      <w:r>
        <w:rPr>
          <w:rFonts w:hint="eastAsia"/>
          <w:color w:val="auto"/>
          <w:sz w:val="21"/>
          <w:szCs w:val="21"/>
          <w:highlight w:val="none"/>
        </w:rPr>
        <w:t>日历天</w:t>
      </w:r>
    </w:p>
    <w:p w14:paraId="32D3AEFD">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1.8本工程招标控制价</w:t>
      </w:r>
      <w:r>
        <w:rPr>
          <w:rFonts w:hint="eastAsia"/>
          <w:color w:val="auto"/>
          <w:sz w:val="21"/>
          <w:szCs w:val="21"/>
          <w:highlight w:val="none"/>
          <w:lang w:eastAsia="zh-CN"/>
        </w:rPr>
        <w:t>：477715.00</w:t>
      </w:r>
      <w:r>
        <w:rPr>
          <w:rFonts w:hint="eastAsia"/>
          <w:color w:val="auto"/>
          <w:sz w:val="21"/>
          <w:szCs w:val="21"/>
          <w:highlight w:val="none"/>
        </w:rPr>
        <w:t>元，</w:t>
      </w:r>
      <w:r>
        <w:rPr>
          <w:rFonts w:hint="eastAsia"/>
          <w:color w:val="auto"/>
          <w:sz w:val="21"/>
          <w:szCs w:val="21"/>
          <w:highlight w:val="none"/>
        </w:rPr>
        <w:t>投标报价不得高于招标控制价，否则按废标处理。</w:t>
      </w:r>
    </w:p>
    <w:p w14:paraId="776A96F4">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二、资格条件：</w:t>
      </w:r>
    </w:p>
    <w:p w14:paraId="1F47E344">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2.1投标人资质等级及范围：具有</w:t>
      </w:r>
      <w:r>
        <w:rPr>
          <w:rFonts w:hint="eastAsia" w:ascii="宋体" w:hAnsi="宋体" w:eastAsia="宋体" w:cs="宋体"/>
          <w:b/>
          <w:bCs/>
          <w:i w:val="0"/>
          <w:iCs w:val="0"/>
          <w:caps w:val="0"/>
          <w:color w:val="auto"/>
          <w:spacing w:val="0"/>
          <w:sz w:val="21"/>
          <w:szCs w:val="21"/>
          <w:highlight w:val="none"/>
          <w:u w:val="single"/>
          <w:shd w:val="clear" w:fill="FFFFFF"/>
        </w:rPr>
        <w:t>行政主管部门核发公路工程施工总承包三级及以上或同时具有公路路基工程和公路路面工程专业承包三级及以上</w:t>
      </w:r>
      <w:r>
        <w:rPr>
          <w:rFonts w:hint="eastAsia" w:ascii="宋体" w:hAnsi="宋体" w:cs="宋体"/>
          <w:color w:val="auto"/>
          <w:kern w:val="0"/>
          <w:sz w:val="21"/>
          <w:szCs w:val="21"/>
          <w:highlight w:val="none"/>
          <w:lang w:val="en-US" w:eastAsia="zh-CN" w:bidi="ar-SA"/>
        </w:rPr>
        <w:t>施工资质的独立法人，并具有安全生产许可证。</w:t>
      </w:r>
    </w:p>
    <w:p w14:paraId="4C84F782">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eastAsia" w:ascii="宋体" w:hAnsi="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2.2项目负责人资质类别和等级：项目负责人具有</w:t>
      </w:r>
      <w:r>
        <w:rPr>
          <w:rFonts w:hint="eastAsia" w:ascii="宋体" w:hAnsi="宋体" w:eastAsia="宋体" w:cs="宋体"/>
          <w:b/>
          <w:bCs/>
          <w:i w:val="0"/>
          <w:iCs w:val="0"/>
          <w:caps w:val="0"/>
          <w:color w:val="auto"/>
          <w:spacing w:val="0"/>
          <w:sz w:val="21"/>
          <w:szCs w:val="21"/>
          <w:highlight w:val="none"/>
          <w:u w:val="single"/>
          <w:shd w:val="clear" w:fill="FFFFFF"/>
        </w:rPr>
        <w:t>公路工程二级</w:t>
      </w:r>
      <w:r>
        <w:rPr>
          <w:rFonts w:hint="eastAsia" w:ascii="宋体" w:hAnsi="宋体" w:cs="宋体"/>
          <w:color w:val="auto"/>
          <w:kern w:val="0"/>
          <w:sz w:val="21"/>
          <w:szCs w:val="21"/>
          <w:highlight w:val="none"/>
          <w:lang w:val="en-US" w:eastAsia="zh-CN" w:bidi="ar-SA"/>
        </w:rPr>
        <w:t>及以上建造师资格，同时应具有安全生产考核合格证（B类）。</w:t>
      </w:r>
    </w:p>
    <w:p w14:paraId="770BFB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2.3 投标申请人须保证项目负责人及代理人均为本单位的正式职工，并确保从2024 年4月开始至投标截止之日当月至少连续 6 个月均已在本单位缴纳养老保险，中标候选人公示前、 异议（投诉）提出时相关单位需提供缴费记录证明原件给招标人核验。（例：如开标日期为 2023 年 10 月的某一天，则投标单位需保证以上人员 2023 年 2 月以后任意连续 6 月养老保险均在本单位缴纳）。</w:t>
      </w:r>
    </w:p>
    <w:p w14:paraId="46753C83">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4</w:t>
      </w:r>
      <w:r>
        <w:rPr>
          <w:rFonts w:hint="default" w:ascii="宋体" w:hAnsi="宋体" w:eastAsia="宋体" w:cs="宋体"/>
          <w:color w:val="auto"/>
          <w:kern w:val="0"/>
          <w:sz w:val="21"/>
          <w:szCs w:val="21"/>
          <w:highlight w:val="none"/>
          <w:lang w:val="en-US" w:eastAsia="zh-CN" w:bidi="ar-SA"/>
        </w:rPr>
        <w:t>本次招标不接受联合体投标。</w:t>
      </w:r>
    </w:p>
    <w:p w14:paraId="2B860A48">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5</w:t>
      </w:r>
      <w:r>
        <w:rPr>
          <w:rFonts w:hint="default" w:ascii="宋体" w:hAnsi="宋体" w:eastAsia="宋体" w:cs="宋体"/>
          <w:color w:val="auto"/>
          <w:kern w:val="0"/>
          <w:sz w:val="21"/>
          <w:szCs w:val="21"/>
          <w:highlight w:val="none"/>
          <w:lang w:val="en-US" w:eastAsia="zh-CN" w:bidi="ar-SA"/>
        </w:rPr>
        <w:t>财务要求：投标人应具有独立订立合同的能力，未处于财产全部被接管、冻结和破产状态。</w:t>
      </w:r>
    </w:p>
    <w:p w14:paraId="6B30B81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4" w:lineRule="atLeast"/>
        <w:ind w:left="0" w:right="0" w:firstLine="420"/>
        <w:jc w:val="left"/>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2</w:t>
      </w:r>
      <w:r>
        <w:rPr>
          <w:rFonts w:hint="default" w:ascii="宋体" w:hAnsi="宋体" w:eastAsia="宋体" w:cs="宋体"/>
          <w:color w:val="auto"/>
          <w:kern w:val="0"/>
          <w:sz w:val="21"/>
          <w:szCs w:val="21"/>
          <w:highlight w:val="none"/>
          <w:lang w:val="en-US" w:eastAsia="zh-CN" w:bidi="ar-SA"/>
        </w:rPr>
        <w:t>.</w:t>
      </w:r>
      <w:r>
        <w:rPr>
          <w:rFonts w:hint="eastAsia" w:ascii="宋体" w:hAnsi="宋体" w:cs="宋体"/>
          <w:color w:val="auto"/>
          <w:kern w:val="0"/>
          <w:sz w:val="21"/>
          <w:szCs w:val="21"/>
          <w:highlight w:val="none"/>
          <w:lang w:val="en-US" w:eastAsia="zh-CN" w:bidi="ar-SA"/>
        </w:rPr>
        <w:t>6</w:t>
      </w:r>
      <w:r>
        <w:rPr>
          <w:rFonts w:hint="default" w:ascii="宋体" w:hAnsi="宋体" w:eastAsia="宋体" w:cs="宋体"/>
          <w:color w:val="auto"/>
          <w:kern w:val="0"/>
          <w:sz w:val="21"/>
          <w:szCs w:val="21"/>
          <w:highlight w:val="none"/>
          <w:lang w:val="en-US" w:eastAsia="zh-CN" w:bidi="ar-SA"/>
        </w:rPr>
        <w:t>业绩要求：无。</w:t>
      </w:r>
    </w:p>
    <w:p w14:paraId="50DC68D8">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2.7</w:t>
      </w:r>
      <w:r>
        <w:rPr>
          <w:rFonts w:hint="eastAsia"/>
          <w:color w:val="auto"/>
          <w:sz w:val="21"/>
          <w:szCs w:val="21"/>
          <w:highlight w:val="none"/>
        </w:rPr>
        <w:t>信誉要求：投标人没有被国家、江苏省省级有关部门及盐城市市级有关部门和响水县县级有关部门暂停招投标或市场准入资格且在暂停期内。</w:t>
      </w:r>
    </w:p>
    <w:p w14:paraId="400A7D5B">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1DE7FAB1">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投标人存在失信被执行人信息的，按《关于在公共资源交易领域的招标投标活动中建立对失信被执行人联合惩戒机制的实施意见》（苏信用办（2018）23号）文件精神执行。</w:t>
      </w:r>
    </w:p>
    <w:p w14:paraId="72B842C8">
      <w:pPr>
        <w:pStyle w:val="21"/>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eastAsia="zh-CN"/>
        </w:rPr>
        <w:t>三</w:t>
      </w:r>
      <w:r>
        <w:rPr>
          <w:rFonts w:hint="eastAsia"/>
          <w:b/>
          <w:bCs/>
          <w:color w:val="auto"/>
          <w:sz w:val="21"/>
          <w:szCs w:val="21"/>
          <w:highlight w:val="none"/>
        </w:rPr>
        <w:t>、资格审查：</w:t>
      </w:r>
      <w:r>
        <w:rPr>
          <w:rFonts w:hint="eastAsia"/>
          <w:color w:val="auto"/>
          <w:sz w:val="21"/>
          <w:szCs w:val="21"/>
          <w:highlight w:val="none"/>
        </w:rPr>
        <w:t>本工程对投标申请人的资格审查采用资格后审方式。</w:t>
      </w:r>
    </w:p>
    <w:p w14:paraId="10592378">
      <w:pPr>
        <w:pStyle w:val="21"/>
        <w:snapToGrid w:val="0"/>
        <w:spacing w:before="0" w:beforeAutospacing="0" w:after="0" w:afterAutospacing="0" w:line="500" w:lineRule="exact"/>
        <w:ind w:firstLine="422" w:firstLineChars="200"/>
        <w:jc w:val="both"/>
        <w:rPr>
          <w:color w:val="auto"/>
          <w:sz w:val="21"/>
          <w:szCs w:val="21"/>
          <w:highlight w:val="none"/>
        </w:rPr>
      </w:pPr>
      <w:r>
        <w:rPr>
          <w:rFonts w:hint="eastAsia"/>
          <w:b/>
          <w:bCs/>
          <w:color w:val="auto"/>
          <w:sz w:val="21"/>
          <w:szCs w:val="21"/>
          <w:highlight w:val="none"/>
          <w:lang w:val="en-US" w:eastAsia="zh-CN"/>
        </w:rPr>
        <w:t>四</w:t>
      </w:r>
      <w:r>
        <w:rPr>
          <w:rFonts w:hint="eastAsia"/>
          <w:b/>
          <w:bCs/>
          <w:color w:val="auto"/>
          <w:sz w:val="21"/>
          <w:szCs w:val="21"/>
          <w:highlight w:val="none"/>
        </w:rPr>
        <w:t>、评标、定标办法：</w:t>
      </w:r>
      <w:r>
        <w:rPr>
          <w:rFonts w:hint="eastAsia"/>
          <w:color w:val="auto"/>
          <w:sz w:val="21"/>
          <w:szCs w:val="21"/>
          <w:highlight w:val="none"/>
          <w:lang w:val="en-US" w:eastAsia="zh-CN"/>
        </w:rPr>
        <w:t>经评审的最低投标价法。</w:t>
      </w:r>
    </w:p>
    <w:p w14:paraId="6B327C62">
      <w:pPr>
        <w:pStyle w:val="21"/>
        <w:snapToGrid w:val="0"/>
        <w:spacing w:before="0" w:beforeAutospacing="0" w:after="0" w:afterAutospacing="0" w:line="500" w:lineRule="exact"/>
        <w:ind w:firstLine="422" w:firstLineChars="200"/>
        <w:jc w:val="both"/>
        <w:rPr>
          <w:rFonts w:hint="eastAsia" w:eastAsia="宋体"/>
          <w:color w:val="auto"/>
          <w:sz w:val="21"/>
          <w:szCs w:val="21"/>
          <w:highlight w:val="none"/>
          <w:lang w:eastAsia="zh-CN"/>
        </w:rPr>
      </w:pPr>
      <w:r>
        <w:rPr>
          <w:rFonts w:hint="eastAsia"/>
          <w:b/>
          <w:bCs/>
          <w:color w:val="auto"/>
          <w:sz w:val="21"/>
          <w:szCs w:val="21"/>
          <w:highlight w:val="none"/>
          <w:lang w:val="en-US" w:eastAsia="zh-CN"/>
        </w:rPr>
        <w:t>五</w:t>
      </w:r>
      <w:r>
        <w:rPr>
          <w:rFonts w:hint="eastAsia"/>
          <w:b/>
          <w:bCs/>
          <w:color w:val="auto"/>
          <w:sz w:val="21"/>
          <w:szCs w:val="21"/>
          <w:highlight w:val="none"/>
        </w:rPr>
        <w:t>、工程付款：</w:t>
      </w:r>
      <w:r>
        <w:rPr>
          <w:rFonts w:hint="eastAsia"/>
          <w:color w:val="auto"/>
          <w:sz w:val="21"/>
          <w:szCs w:val="21"/>
          <w:highlight w:val="none"/>
          <w:lang w:eastAsia="zh-CN"/>
        </w:rPr>
        <w:t>本项目无预付款，工程全部竣工验收合格并经审计后付审计价的50%；验收合格满一年时付至审计价的80%，质保期后结清余款。（以上付款均不计息）</w:t>
      </w:r>
    </w:p>
    <w:p w14:paraId="6F0C91E7">
      <w:pPr>
        <w:pStyle w:val="21"/>
        <w:snapToGrid w:val="0"/>
        <w:spacing w:before="0" w:beforeAutospacing="0" w:after="0" w:afterAutospacing="0" w:line="500" w:lineRule="exact"/>
        <w:ind w:firstLine="422" w:firstLineChars="200"/>
        <w:jc w:val="both"/>
        <w:rPr>
          <w:rFonts w:hint="default" w:eastAsia="宋体"/>
          <w:b/>
          <w:bCs/>
          <w:color w:val="auto"/>
          <w:sz w:val="21"/>
          <w:szCs w:val="21"/>
          <w:highlight w:val="none"/>
          <w:lang w:val="en-US" w:eastAsia="zh-CN"/>
        </w:rPr>
      </w:pPr>
      <w:r>
        <w:rPr>
          <w:rFonts w:hint="eastAsia"/>
          <w:b/>
          <w:bCs/>
          <w:color w:val="auto"/>
          <w:sz w:val="21"/>
          <w:szCs w:val="21"/>
          <w:highlight w:val="none"/>
          <w:lang w:val="en-US" w:eastAsia="zh-CN"/>
        </w:rPr>
        <w:t>六、保证金</w:t>
      </w:r>
    </w:p>
    <w:p w14:paraId="265ABEA9">
      <w:pPr>
        <w:pStyle w:val="21"/>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lang w:val="en-US" w:eastAsia="zh-CN"/>
        </w:rPr>
        <w:t>6.1</w:t>
      </w:r>
      <w:r>
        <w:rPr>
          <w:rFonts w:hint="eastAsia"/>
          <w:color w:val="auto"/>
          <w:sz w:val="21"/>
          <w:szCs w:val="21"/>
          <w:highlight w:val="none"/>
        </w:rPr>
        <w:t>投标保证金：</w:t>
      </w:r>
      <w:r>
        <w:rPr>
          <w:rFonts w:hint="eastAsia"/>
          <w:color w:val="auto"/>
          <w:sz w:val="21"/>
          <w:szCs w:val="21"/>
          <w:highlight w:val="none"/>
          <w:lang w:val="en-US" w:eastAsia="zh-CN"/>
        </w:rPr>
        <w:t>伍</w:t>
      </w:r>
      <w:r>
        <w:rPr>
          <w:rFonts w:hint="eastAsia"/>
          <w:color w:val="auto"/>
          <w:sz w:val="21"/>
          <w:szCs w:val="21"/>
          <w:highlight w:val="none"/>
        </w:rPr>
        <w:t>仟元整</w:t>
      </w:r>
    </w:p>
    <w:p w14:paraId="69F5126F">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rPr>
        <w:t>投标保证金必须在</w:t>
      </w:r>
      <w:r>
        <w:rPr>
          <w:rFonts w:hint="eastAsia"/>
          <w:color w:val="auto"/>
          <w:sz w:val="21"/>
          <w:szCs w:val="21"/>
          <w:highlight w:val="none"/>
          <w:lang w:val="en-US" w:eastAsia="zh-CN"/>
        </w:rPr>
        <w:t>报名</w:t>
      </w:r>
      <w:r>
        <w:rPr>
          <w:rFonts w:hint="eastAsia"/>
          <w:color w:val="auto"/>
          <w:sz w:val="21"/>
          <w:szCs w:val="21"/>
          <w:highlight w:val="none"/>
        </w:rPr>
        <w:t>截止时间前，将保证金从投标人本单位企业银行基本存款账户上直接转（汇）至招标人指定账户</w:t>
      </w:r>
      <w:r>
        <w:rPr>
          <w:rFonts w:hint="eastAsia"/>
          <w:color w:val="auto"/>
          <w:sz w:val="21"/>
          <w:szCs w:val="21"/>
          <w:highlight w:val="none"/>
          <w:lang w:eastAsia="zh-CN"/>
        </w:rPr>
        <w:t>（</w:t>
      </w:r>
      <w:r>
        <w:rPr>
          <w:rFonts w:hint="eastAsia"/>
          <w:color w:val="auto"/>
          <w:sz w:val="21"/>
          <w:szCs w:val="21"/>
          <w:highlight w:val="none"/>
          <w:lang w:val="en-US" w:eastAsia="zh-CN"/>
        </w:rPr>
        <w:t>缴纳投标保证金账户以缴费通知单的账户为准</w:t>
      </w:r>
      <w:r>
        <w:rPr>
          <w:rFonts w:hint="eastAsia"/>
          <w:color w:val="auto"/>
          <w:sz w:val="21"/>
          <w:szCs w:val="21"/>
          <w:highlight w:val="none"/>
          <w:lang w:eastAsia="zh-CN"/>
        </w:rPr>
        <w:t>）。</w:t>
      </w:r>
      <w:r>
        <w:rPr>
          <w:rFonts w:hint="eastAsia"/>
          <w:color w:val="auto"/>
          <w:sz w:val="21"/>
          <w:szCs w:val="21"/>
          <w:highlight w:val="none"/>
          <w:lang w:val="en-US" w:eastAsia="zh-CN"/>
        </w:rPr>
        <w:t>请各投标人充分考虑保证金在银行之间划转时间，建议提前转（汇），否则无效。</w:t>
      </w:r>
    </w:p>
    <w:p w14:paraId="2A1A191D">
      <w:pPr>
        <w:pStyle w:val="21"/>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开户名称：响水县农村产权交易服务中心</w:t>
      </w:r>
    </w:p>
    <w:p w14:paraId="279452C1">
      <w:pPr>
        <w:pStyle w:val="21"/>
        <w:snapToGrid w:val="0"/>
        <w:spacing w:before="0" w:beforeAutospacing="0" w:after="0" w:afterAutospacing="0" w:line="500" w:lineRule="exact"/>
        <w:ind w:firstLine="420" w:firstLineChars="200"/>
        <w:jc w:val="both"/>
        <w:rPr>
          <w:rFonts w:hint="default"/>
          <w:color w:val="auto"/>
          <w:sz w:val="21"/>
          <w:szCs w:val="21"/>
          <w:highlight w:val="none"/>
          <w:lang w:val="en-US" w:eastAsia="zh-CN"/>
        </w:rPr>
      </w:pPr>
      <w:r>
        <w:rPr>
          <w:rFonts w:hint="default"/>
          <w:color w:val="auto"/>
          <w:sz w:val="21"/>
          <w:szCs w:val="21"/>
          <w:highlight w:val="none"/>
          <w:lang w:val="en-US" w:eastAsia="zh-CN"/>
        </w:rPr>
        <w:t>开 户 行：江苏银行响水支行</w:t>
      </w:r>
    </w:p>
    <w:p w14:paraId="6F8271D5">
      <w:pPr>
        <w:pStyle w:val="21"/>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2</w:t>
      </w:r>
      <w:r>
        <w:rPr>
          <w:rFonts w:hint="eastAsia"/>
          <w:color w:val="auto"/>
          <w:sz w:val="21"/>
          <w:szCs w:val="21"/>
          <w:highlight w:val="none"/>
        </w:rPr>
        <w:t>履约保证金：履约保证金按中标价的5%收</w:t>
      </w:r>
      <w:r>
        <w:rPr>
          <w:rFonts w:hint="eastAsia"/>
          <w:color w:val="auto"/>
          <w:sz w:val="21"/>
          <w:szCs w:val="21"/>
          <w:highlight w:val="none"/>
          <w:lang w:eastAsia="zh-CN"/>
        </w:rPr>
        <w:t>取。</w:t>
      </w:r>
      <w:r>
        <w:rPr>
          <w:rFonts w:hint="eastAsia" w:ascii="宋体" w:hAnsi="宋体" w:eastAsia="宋体" w:cs="Times New Roman"/>
          <w:b w:val="0"/>
          <w:color w:val="auto"/>
          <w:kern w:val="2"/>
          <w:sz w:val="21"/>
          <w:szCs w:val="21"/>
          <w:highlight w:val="none"/>
          <w:lang w:val="en-US" w:eastAsia="zh-CN" w:bidi="ar-SA"/>
        </w:rPr>
        <w:t>缴纳方式：现金、履约保函、保单、转帐、电汇或银行汇票等形式从乙方的帐户转至招标人指定账户</w:t>
      </w:r>
      <w:r>
        <w:rPr>
          <w:rFonts w:hint="eastAsia"/>
          <w:color w:val="auto"/>
          <w:sz w:val="21"/>
          <w:szCs w:val="21"/>
          <w:highlight w:val="none"/>
        </w:rPr>
        <w:t>，履约保证金在本工程竣工验收后全部无息退还（无息）。</w:t>
      </w:r>
    </w:p>
    <w:p w14:paraId="257F0455">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w:t>
      </w:r>
      <w:r>
        <w:rPr>
          <w:rFonts w:hint="eastAsia"/>
          <w:color w:val="auto"/>
          <w:sz w:val="21"/>
          <w:szCs w:val="21"/>
          <w:highlight w:val="none"/>
          <w:lang w:val="en-US" w:eastAsia="zh-CN"/>
        </w:rPr>
        <w:t>3</w:t>
      </w:r>
      <w:r>
        <w:rPr>
          <w:rFonts w:hint="eastAsia"/>
          <w:color w:val="auto"/>
          <w:sz w:val="21"/>
          <w:szCs w:val="21"/>
          <w:highlight w:val="none"/>
        </w:rPr>
        <w:t>质量保证金：为结算价的3%。</w:t>
      </w:r>
    </w:p>
    <w:p w14:paraId="026CA990">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rPr>
        <w:t>七、有关事项：</w:t>
      </w:r>
    </w:p>
    <w:p w14:paraId="44892C87">
      <w:pPr>
        <w:pStyle w:val="21"/>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lang w:val="en-US" w:eastAsia="zh-CN"/>
        </w:rPr>
        <w:t>7.1</w:t>
      </w:r>
      <w:r>
        <w:rPr>
          <w:rFonts w:hint="eastAsia"/>
          <w:b w:val="0"/>
          <w:bCs w:val="0"/>
          <w:color w:val="auto"/>
          <w:sz w:val="21"/>
          <w:szCs w:val="21"/>
          <w:highlight w:val="none"/>
        </w:rPr>
        <w:t>凡有意参加投标者，请</w:t>
      </w:r>
      <w:r>
        <w:rPr>
          <w:rFonts w:hint="eastAsia"/>
          <w:b/>
          <w:bCs/>
          <w:color w:val="auto"/>
          <w:sz w:val="21"/>
          <w:szCs w:val="21"/>
          <w:highlight w:val="none"/>
        </w:rPr>
        <w:t>于202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04</w:t>
      </w:r>
      <w:r>
        <w:rPr>
          <w:rFonts w:hint="eastAsia"/>
          <w:b/>
          <w:bCs/>
          <w:color w:val="auto"/>
          <w:sz w:val="21"/>
          <w:szCs w:val="21"/>
          <w:highlight w:val="none"/>
        </w:rPr>
        <w:t>日上午09:00起至202</w:t>
      </w:r>
      <w:r>
        <w:rPr>
          <w:rFonts w:hint="eastAsia"/>
          <w:b/>
          <w:bCs/>
          <w:color w:val="auto"/>
          <w:sz w:val="21"/>
          <w:szCs w:val="21"/>
          <w:highlight w:val="none"/>
          <w:lang w:val="en-US" w:eastAsia="zh-CN"/>
        </w:rPr>
        <w:t>4</w:t>
      </w:r>
      <w:r>
        <w:rPr>
          <w:rFonts w:hint="eastAsia"/>
          <w:b/>
          <w:bCs/>
          <w:color w:val="auto"/>
          <w:sz w:val="21"/>
          <w:szCs w:val="21"/>
          <w:highlight w:val="none"/>
        </w:rPr>
        <w:t>年</w:t>
      </w:r>
      <w:r>
        <w:rPr>
          <w:rFonts w:hint="eastAsia"/>
          <w:b/>
          <w:bCs/>
          <w:color w:val="auto"/>
          <w:sz w:val="21"/>
          <w:szCs w:val="21"/>
          <w:highlight w:val="none"/>
          <w:lang w:val="en-US" w:eastAsia="zh-CN"/>
        </w:rPr>
        <w:t>11</w:t>
      </w:r>
      <w:r>
        <w:rPr>
          <w:rFonts w:hint="eastAsia"/>
          <w:b/>
          <w:bCs/>
          <w:color w:val="auto"/>
          <w:sz w:val="21"/>
          <w:szCs w:val="21"/>
          <w:highlight w:val="none"/>
        </w:rPr>
        <w:t>月</w:t>
      </w:r>
      <w:r>
        <w:rPr>
          <w:rFonts w:hint="eastAsia"/>
          <w:b/>
          <w:bCs/>
          <w:color w:val="auto"/>
          <w:sz w:val="21"/>
          <w:szCs w:val="21"/>
          <w:highlight w:val="none"/>
          <w:lang w:val="en-US" w:eastAsia="zh-CN"/>
        </w:rPr>
        <w:t>15</w:t>
      </w:r>
      <w:r>
        <w:rPr>
          <w:rFonts w:hint="eastAsia"/>
          <w:b/>
          <w:bCs/>
          <w:color w:val="auto"/>
          <w:sz w:val="21"/>
          <w:szCs w:val="21"/>
          <w:highlight w:val="none"/>
        </w:rPr>
        <w:t>日下午</w:t>
      </w:r>
      <w:r>
        <w:rPr>
          <w:rFonts w:hint="eastAsia"/>
          <w:b/>
          <w:bCs/>
          <w:color w:val="auto"/>
          <w:sz w:val="21"/>
          <w:szCs w:val="21"/>
          <w:highlight w:val="none"/>
        </w:rPr>
        <w:t>17:30</w:t>
      </w:r>
      <w:r>
        <w:rPr>
          <w:rFonts w:hint="eastAsia"/>
          <w:b w:val="0"/>
          <w:bCs w:val="0"/>
          <w:color w:val="auto"/>
          <w:sz w:val="21"/>
          <w:szCs w:val="21"/>
          <w:highlight w:val="none"/>
        </w:rPr>
        <w:t>在江苏省农村产权交易信息服务平台线上报名（网址：http://app3.jsnc.gov.cn:8080/nccqjy/member/login.do）投标报名材料需上传至附件里。（投标人实名备案网址http://app3.jsnc.gov.cn:8080/nccqjy/member/login.do）</w:t>
      </w:r>
    </w:p>
    <w:p w14:paraId="167D26B3">
      <w:pPr>
        <w:pStyle w:val="21"/>
        <w:snapToGrid w:val="0"/>
        <w:spacing w:before="0" w:beforeAutospacing="0" w:after="0" w:afterAutospacing="0" w:line="500" w:lineRule="exact"/>
        <w:ind w:firstLine="420" w:firstLineChars="200"/>
        <w:jc w:val="both"/>
        <w:rPr>
          <w:rFonts w:hint="eastAsia"/>
          <w:b w:val="0"/>
          <w:bCs w:val="0"/>
          <w:color w:val="auto"/>
          <w:sz w:val="21"/>
          <w:szCs w:val="21"/>
          <w:highlight w:val="none"/>
        </w:rPr>
      </w:pPr>
      <w:r>
        <w:rPr>
          <w:rFonts w:hint="eastAsia"/>
          <w:b w:val="0"/>
          <w:bCs w:val="0"/>
          <w:color w:val="auto"/>
          <w:sz w:val="21"/>
          <w:szCs w:val="21"/>
          <w:highlight w:val="none"/>
        </w:rPr>
        <w:t>未备案的投标人先至当地农村产权交易中心进行公司备案。</w:t>
      </w:r>
    </w:p>
    <w:p w14:paraId="724D9E77">
      <w:pPr>
        <w:pStyle w:val="21"/>
        <w:keepNext w:val="0"/>
        <w:keepLines w:val="0"/>
        <w:pageBreakBefore w:val="0"/>
        <w:widowControl/>
        <w:kinsoku/>
        <w:wordWrap/>
        <w:overflowPunct/>
        <w:topLinePunct w:val="0"/>
        <w:autoSpaceDE/>
        <w:autoSpaceDN/>
        <w:bidi w:val="0"/>
        <w:adjustRightInd/>
        <w:snapToGrid w:val="0"/>
        <w:spacing w:before="0" w:beforeAutospacing="0" w:after="0" w:afterAutospacing="0" w:line="420" w:lineRule="exact"/>
        <w:ind w:firstLine="420" w:firstLineChars="200"/>
        <w:jc w:val="both"/>
        <w:textAlignment w:val="auto"/>
        <w:rPr>
          <w:rFonts w:hint="eastAsia"/>
          <w:b w:val="0"/>
          <w:bCs w:val="0"/>
          <w:color w:val="auto"/>
          <w:sz w:val="21"/>
          <w:szCs w:val="21"/>
          <w:highlight w:val="none"/>
        </w:rPr>
      </w:pPr>
      <w:r>
        <w:rPr>
          <w:rFonts w:hint="eastAsia"/>
          <w:b w:val="0"/>
          <w:bCs w:val="0"/>
          <w:color w:val="auto"/>
          <w:sz w:val="21"/>
          <w:szCs w:val="21"/>
          <w:highlight w:val="none"/>
        </w:rPr>
        <w:t>7.2线上报名成功的投标人请</w:t>
      </w:r>
      <w:r>
        <w:rPr>
          <w:rFonts w:hint="eastAsia"/>
          <w:b w:val="0"/>
          <w:bCs w:val="0"/>
          <w:color w:val="auto"/>
          <w:sz w:val="21"/>
          <w:szCs w:val="21"/>
          <w:highlight w:val="none"/>
          <w:lang w:val="en-US" w:eastAsia="zh-CN"/>
        </w:rPr>
        <w:t>联系代理机构（联系人：刘女士；联系电话：15351981275）</w:t>
      </w:r>
      <w:r>
        <w:rPr>
          <w:rFonts w:hint="eastAsia"/>
          <w:b w:val="0"/>
          <w:bCs w:val="0"/>
          <w:color w:val="auto"/>
          <w:sz w:val="21"/>
          <w:szCs w:val="21"/>
          <w:highlight w:val="none"/>
        </w:rPr>
        <w:t>发送报名资料</w:t>
      </w:r>
      <w:r>
        <w:rPr>
          <w:rFonts w:hint="eastAsia"/>
          <w:b w:val="0"/>
          <w:bCs w:val="0"/>
          <w:color w:val="auto"/>
          <w:sz w:val="21"/>
          <w:szCs w:val="21"/>
          <w:highlight w:val="none"/>
          <w:lang w:val="en-US" w:eastAsia="zh-CN"/>
        </w:rPr>
        <w:t>并</w:t>
      </w:r>
      <w:r>
        <w:rPr>
          <w:rFonts w:hint="eastAsia"/>
          <w:b w:val="0"/>
          <w:bCs w:val="0"/>
          <w:color w:val="auto"/>
          <w:sz w:val="21"/>
          <w:szCs w:val="21"/>
          <w:highlight w:val="none"/>
        </w:rPr>
        <w:t>登记购买招标文件</w:t>
      </w:r>
      <w:r>
        <w:rPr>
          <w:rFonts w:hint="eastAsia"/>
          <w:b w:val="0"/>
          <w:bCs w:val="0"/>
          <w:color w:val="auto"/>
          <w:sz w:val="21"/>
          <w:szCs w:val="21"/>
          <w:highlight w:val="none"/>
          <w:lang w:val="en-US" w:eastAsia="zh-CN"/>
        </w:rPr>
        <w:t>，或直接在江苏省农村产权交易信息服务平台“信息公开”栏查找本项目进入“附件信息”栏下载。</w:t>
      </w:r>
    </w:p>
    <w:p w14:paraId="65BC5590">
      <w:pPr>
        <w:pStyle w:val="21"/>
        <w:snapToGrid w:val="0"/>
        <w:spacing w:before="0" w:beforeAutospacing="0" w:after="0" w:afterAutospacing="0" w:line="500" w:lineRule="exact"/>
        <w:ind w:firstLine="420" w:firstLineChars="200"/>
        <w:jc w:val="both"/>
        <w:rPr>
          <w:b w:val="0"/>
          <w:bCs w:val="0"/>
          <w:color w:val="auto"/>
          <w:sz w:val="21"/>
          <w:szCs w:val="21"/>
          <w:highlight w:val="none"/>
        </w:rPr>
      </w:pPr>
      <w:r>
        <w:rPr>
          <w:rFonts w:hint="eastAsia"/>
          <w:b w:val="0"/>
          <w:bCs w:val="0"/>
          <w:color w:val="auto"/>
          <w:sz w:val="21"/>
          <w:szCs w:val="21"/>
          <w:highlight w:val="none"/>
        </w:rPr>
        <w:t>报名时需携带以下资料：</w:t>
      </w:r>
    </w:p>
    <w:p w14:paraId="1F1AA69B">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（1）单位介绍信或授权委托书（单位介绍信或授权委托书应注明联系人电话，电话号码错误或无法联系的责任由投标人自负）；</w:t>
      </w:r>
    </w:p>
    <w:p w14:paraId="5B231126">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（2）经办人有效二代身份证；</w:t>
      </w:r>
    </w:p>
    <w:p w14:paraId="37E5A38A">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（3）企业营业执照副本；</w:t>
      </w:r>
    </w:p>
    <w:p w14:paraId="6B6820E3">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（4）企业资质证书副本；</w:t>
      </w:r>
    </w:p>
    <w:p w14:paraId="0B33434E">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（5）安全生产许可证副本；</w:t>
      </w:r>
    </w:p>
    <w:p w14:paraId="3290C69D">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（6）拟派项目经理建造师证书；</w:t>
      </w:r>
    </w:p>
    <w:p w14:paraId="46755DB3">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（7）项目经理安全生产考核合格证；</w:t>
      </w:r>
    </w:p>
    <w:p w14:paraId="1F154576">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（以上证件核验为复印件盖公章）。</w:t>
      </w:r>
    </w:p>
    <w:p w14:paraId="4906E53A">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lang w:val="en-US" w:eastAsia="zh-CN"/>
        </w:rPr>
        <w:t>7.3</w:t>
      </w:r>
      <w:r>
        <w:rPr>
          <w:rFonts w:hint="eastAsia"/>
          <w:color w:val="auto"/>
          <w:sz w:val="21"/>
          <w:szCs w:val="21"/>
          <w:highlight w:val="none"/>
        </w:rPr>
        <w:t>本项目招标人不统一组织现场考察，亦不召开标前会议，投标人可自行前往现场考察。</w:t>
      </w:r>
    </w:p>
    <w:p w14:paraId="6546DAD3">
      <w:pPr>
        <w:pStyle w:val="21"/>
        <w:snapToGrid w:val="0"/>
        <w:spacing w:before="0" w:beforeAutospacing="0" w:after="0" w:afterAutospacing="0" w:line="500" w:lineRule="exact"/>
        <w:ind w:firstLine="420" w:firstLineChars="200"/>
        <w:jc w:val="both"/>
        <w:rPr>
          <w:rFonts w:hint="eastAsia"/>
          <w:color w:val="auto"/>
          <w:sz w:val="21"/>
          <w:szCs w:val="21"/>
          <w:highlight w:val="none"/>
        </w:rPr>
      </w:pPr>
      <w:r>
        <w:rPr>
          <w:rFonts w:hint="eastAsia"/>
          <w:color w:val="auto"/>
          <w:sz w:val="21"/>
          <w:szCs w:val="21"/>
          <w:highlight w:val="none"/>
        </w:rPr>
        <w:t>7.4投标截止时间和开标时间：202</w:t>
      </w:r>
      <w:r>
        <w:rPr>
          <w:rFonts w:hint="eastAsia"/>
          <w:color w:val="auto"/>
          <w:sz w:val="21"/>
          <w:szCs w:val="21"/>
          <w:highlight w:val="none"/>
          <w:lang w:val="en-US" w:eastAsia="zh-CN"/>
        </w:rPr>
        <w:t>4</w:t>
      </w:r>
      <w:r>
        <w:rPr>
          <w:rFonts w:hint="eastAsia"/>
          <w:color w:val="auto"/>
          <w:sz w:val="21"/>
          <w:szCs w:val="21"/>
          <w:highlight w:val="none"/>
        </w:rPr>
        <w:t>年</w:t>
      </w:r>
      <w:r>
        <w:rPr>
          <w:rFonts w:hint="eastAsia"/>
          <w:color w:val="auto"/>
          <w:sz w:val="21"/>
          <w:szCs w:val="21"/>
          <w:highlight w:val="none"/>
          <w:lang w:val="en-US" w:eastAsia="zh-CN"/>
        </w:rPr>
        <w:t>11</w:t>
      </w:r>
      <w:r>
        <w:rPr>
          <w:rFonts w:hint="eastAsia"/>
          <w:color w:val="auto"/>
          <w:sz w:val="21"/>
          <w:szCs w:val="21"/>
          <w:highlight w:val="none"/>
        </w:rPr>
        <w:t>月</w:t>
      </w:r>
      <w:r>
        <w:rPr>
          <w:rFonts w:hint="eastAsia"/>
          <w:color w:val="auto"/>
          <w:sz w:val="21"/>
          <w:szCs w:val="21"/>
          <w:highlight w:val="none"/>
          <w:lang w:val="en-US" w:eastAsia="zh-CN"/>
        </w:rPr>
        <w:t>21</w:t>
      </w:r>
      <w:r>
        <w:rPr>
          <w:rFonts w:hint="eastAsia"/>
          <w:color w:val="auto"/>
          <w:sz w:val="21"/>
          <w:szCs w:val="21"/>
          <w:highlight w:val="none"/>
        </w:rPr>
        <w:t>日</w:t>
      </w:r>
      <w:r>
        <w:rPr>
          <w:rFonts w:hint="eastAsia"/>
          <w:color w:val="auto"/>
          <w:sz w:val="21"/>
          <w:szCs w:val="21"/>
          <w:highlight w:val="none"/>
          <w:lang w:val="en-US" w:eastAsia="zh-CN"/>
        </w:rPr>
        <w:t xml:space="preserve">15 </w:t>
      </w:r>
      <w:r>
        <w:rPr>
          <w:rFonts w:hint="eastAsia"/>
          <w:color w:val="auto"/>
          <w:sz w:val="21"/>
          <w:szCs w:val="21"/>
          <w:highlight w:val="none"/>
        </w:rPr>
        <w:t>时</w:t>
      </w:r>
      <w:r>
        <w:rPr>
          <w:rFonts w:hint="eastAsia"/>
          <w:color w:val="auto"/>
          <w:sz w:val="21"/>
          <w:szCs w:val="21"/>
          <w:highlight w:val="none"/>
          <w:lang w:val="en-US" w:eastAsia="zh-CN"/>
        </w:rPr>
        <w:t>30</w:t>
      </w:r>
      <w:r>
        <w:rPr>
          <w:rFonts w:hint="eastAsia"/>
          <w:color w:val="auto"/>
          <w:sz w:val="21"/>
          <w:szCs w:val="21"/>
          <w:highlight w:val="none"/>
        </w:rPr>
        <w:t>分。</w:t>
      </w:r>
    </w:p>
    <w:p w14:paraId="2F8E275C">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7.5投标地点：上传加密的投标文件至招标人指定邮箱：</w:t>
      </w:r>
      <w:r>
        <w:rPr>
          <w:rFonts w:hint="eastAsia"/>
          <w:color w:val="auto"/>
          <w:sz w:val="21"/>
          <w:szCs w:val="21"/>
          <w:highlight w:val="none"/>
          <w:lang w:val="en-US" w:eastAsia="zh-CN"/>
        </w:rPr>
        <w:t>ychj5588</w:t>
      </w:r>
      <w:r>
        <w:rPr>
          <w:rFonts w:hint="eastAsia"/>
          <w:color w:val="auto"/>
          <w:sz w:val="21"/>
          <w:szCs w:val="21"/>
          <w:highlight w:val="none"/>
          <w:lang w:eastAsia="zh-CN"/>
        </w:rPr>
        <w:t>@163.com</w:t>
      </w:r>
      <w:r>
        <w:rPr>
          <w:rFonts w:hint="eastAsia"/>
          <w:color w:val="auto"/>
          <w:sz w:val="21"/>
          <w:szCs w:val="21"/>
          <w:highlight w:val="none"/>
        </w:rPr>
        <w:t>。</w:t>
      </w:r>
    </w:p>
    <w:p w14:paraId="675D4C6E">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7.6开标地点：响水县农村产权交易中心（响水县和谐路金港家园东大门南侧二楼）。网上开标，腾讯会议号：</w:t>
      </w:r>
      <w:r>
        <w:rPr>
          <w:rFonts w:hint="eastAsia"/>
          <w:color w:val="auto"/>
          <w:sz w:val="21"/>
          <w:szCs w:val="21"/>
          <w:highlight w:val="none"/>
          <w:u w:val="single"/>
          <w:lang w:val="en-US" w:eastAsia="zh-CN"/>
        </w:rPr>
        <w:t xml:space="preserve">867-439-703 </w:t>
      </w:r>
      <w:r>
        <w:rPr>
          <w:rFonts w:hint="eastAsia"/>
          <w:color w:val="auto"/>
          <w:sz w:val="21"/>
          <w:szCs w:val="21"/>
          <w:highlight w:val="none"/>
          <w:lang w:val="en-US" w:eastAsia="zh-CN"/>
        </w:rPr>
        <w:t>。</w:t>
      </w:r>
    </w:p>
    <w:p w14:paraId="2F5B614F">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7.7根据《国务院办公厅转发国家发展改革委关于深化公共资源交易平台整合共享指导意见的通知》（国办函〔2019〕41 号）等文件精神，全面逐步推行不见面投标开标等招投标活动。</w:t>
      </w:r>
    </w:p>
    <w:p w14:paraId="7E371974">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7.8各投标人在投标截止时间前应当每天都在响水县农村产权交易中心网站（http://xsx.jsnc.gov.cn/）相关栏目上查询，以便获取更新的澄清、修改、补充内容。凡涉及到该项目的补充说明和修改，均以响水县农村产权交易中心网上的更正或补充通知为准。</w:t>
      </w:r>
    </w:p>
    <w:p w14:paraId="339E174B">
      <w:pPr>
        <w:pStyle w:val="21"/>
        <w:snapToGrid w:val="0"/>
        <w:spacing w:before="0" w:beforeAutospacing="0" w:after="0" w:afterAutospacing="0" w:line="500" w:lineRule="exact"/>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7.9本项目为不见面交易项目，投标人通过‘腾讯视频会议’直播APP加入会议。</w:t>
      </w:r>
    </w:p>
    <w:p w14:paraId="438EB1F4">
      <w:pPr>
        <w:pStyle w:val="21"/>
        <w:snapToGrid w:val="0"/>
        <w:spacing w:before="0" w:beforeAutospacing="0" w:after="0" w:afterAutospacing="0" w:line="500" w:lineRule="exact"/>
        <w:ind w:firstLine="422" w:firstLineChars="200"/>
        <w:jc w:val="both"/>
        <w:rPr>
          <w:b/>
          <w:bCs/>
          <w:color w:val="auto"/>
          <w:sz w:val="21"/>
          <w:szCs w:val="21"/>
          <w:highlight w:val="none"/>
        </w:rPr>
      </w:pPr>
      <w:r>
        <w:rPr>
          <w:rFonts w:hint="eastAsia"/>
          <w:b/>
          <w:bCs/>
          <w:color w:val="auto"/>
          <w:sz w:val="21"/>
          <w:szCs w:val="21"/>
          <w:highlight w:val="none"/>
          <w:lang w:val="en-US" w:eastAsia="zh-CN"/>
        </w:rPr>
        <w:t>八</w:t>
      </w:r>
      <w:r>
        <w:rPr>
          <w:rFonts w:hint="eastAsia"/>
          <w:b/>
          <w:bCs/>
          <w:color w:val="auto"/>
          <w:sz w:val="21"/>
          <w:szCs w:val="21"/>
          <w:highlight w:val="none"/>
        </w:rPr>
        <w:t>、联系方式：</w:t>
      </w:r>
    </w:p>
    <w:p w14:paraId="31C03F1A">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招标</w:t>
      </w:r>
      <w:r>
        <w:rPr>
          <w:rFonts w:hint="eastAsia"/>
          <w:color w:val="auto"/>
          <w:sz w:val="21"/>
          <w:szCs w:val="21"/>
          <w:highlight w:val="none"/>
          <w:lang w:eastAsia="zh-CN"/>
        </w:rPr>
        <w:t>人</w:t>
      </w:r>
      <w:r>
        <w:rPr>
          <w:rFonts w:hint="eastAsia"/>
          <w:color w:val="auto"/>
          <w:sz w:val="21"/>
          <w:szCs w:val="21"/>
          <w:highlight w:val="none"/>
        </w:rPr>
        <w:t>：</w:t>
      </w: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p>
    <w:p w14:paraId="16457213">
      <w:pPr>
        <w:pStyle w:val="21"/>
        <w:snapToGrid w:val="0"/>
        <w:spacing w:before="0" w:beforeAutospacing="0" w:after="0" w:afterAutospacing="0" w:line="500" w:lineRule="exact"/>
        <w:ind w:firstLine="420" w:firstLineChars="200"/>
        <w:jc w:val="both"/>
        <w:rPr>
          <w:rFonts w:hint="default" w:eastAsia="宋体"/>
          <w:color w:val="auto"/>
          <w:sz w:val="21"/>
          <w:szCs w:val="21"/>
          <w:highlight w:val="none"/>
          <w:u w:val="none"/>
          <w:shd w:val="clear" w:color="auto" w:fill="FFFFFF"/>
          <w:lang w:val="en-US" w:eastAsia="zh-CN"/>
        </w:rPr>
      </w:pPr>
      <w:r>
        <w:rPr>
          <w:rFonts w:hint="eastAsia"/>
          <w:color w:val="auto"/>
          <w:sz w:val="21"/>
          <w:szCs w:val="21"/>
          <w:highlight w:val="none"/>
          <w:u w:val="none"/>
          <w:shd w:val="clear" w:color="auto" w:fill="FFFFFF"/>
          <w:lang w:val="en-US" w:eastAsia="zh-CN"/>
        </w:rPr>
        <w:t xml:space="preserve">联系人：张玉海      </w:t>
      </w:r>
      <w:r>
        <w:rPr>
          <w:rFonts w:hint="eastAsia"/>
          <w:color w:val="auto"/>
          <w:sz w:val="21"/>
          <w:szCs w:val="21"/>
          <w:highlight w:val="none"/>
          <w:shd w:val="clear" w:color="auto" w:fill="FFFFFF"/>
        </w:rPr>
        <w:t>电话：</w:t>
      </w:r>
      <w:r>
        <w:rPr>
          <w:rFonts w:hint="eastAsia"/>
          <w:color w:val="auto"/>
          <w:sz w:val="21"/>
          <w:szCs w:val="21"/>
          <w:highlight w:val="none"/>
          <w:shd w:val="clear" w:color="auto" w:fill="FFFFFF"/>
          <w:lang w:val="en-US" w:eastAsia="zh-CN"/>
        </w:rPr>
        <w:t>18762519666</w:t>
      </w:r>
    </w:p>
    <w:p w14:paraId="7DB5ABF9">
      <w:pPr>
        <w:pStyle w:val="21"/>
        <w:snapToGrid w:val="0"/>
        <w:spacing w:before="0" w:beforeAutospacing="0" w:after="0" w:afterAutospacing="0" w:line="500" w:lineRule="exact"/>
        <w:ind w:firstLine="420" w:firstLineChars="200"/>
        <w:jc w:val="both"/>
        <w:rPr>
          <w:color w:val="auto"/>
          <w:sz w:val="21"/>
          <w:szCs w:val="21"/>
          <w:highlight w:val="none"/>
        </w:rPr>
      </w:pPr>
      <w:r>
        <w:rPr>
          <w:rFonts w:hint="eastAsia"/>
          <w:color w:val="auto"/>
          <w:sz w:val="21"/>
          <w:szCs w:val="21"/>
          <w:highlight w:val="none"/>
        </w:rPr>
        <w:t>代理机构：</w:t>
      </w:r>
      <w:r>
        <w:rPr>
          <w:rFonts w:hint="eastAsia"/>
          <w:color w:val="auto"/>
          <w:sz w:val="21"/>
          <w:szCs w:val="21"/>
          <w:highlight w:val="none"/>
          <w:lang w:eastAsia="zh-CN"/>
        </w:rPr>
        <w:t>盐城鸿锦项目管理有限公司</w:t>
      </w:r>
      <w:r>
        <w:rPr>
          <w:rFonts w:hint="eastAsia"/>
          <w:color w:val="auto"/>
          <w:sz w:val="21"/>
          <w:szCs w:val="21"/>
          <w:highlight w:val="none"/>
        </w:rPr>
        <w:t xml:space="preserve">    </w:t>
      </w:r>
    </w:p>
    <w:p w14:paraId="11728B31">
      <w:pPr>
        <w:pStyle w:val="21"/>
        <w:snapToGrid w:val="0"/>
        <w:spacing w:before="0" w:beforeAutospacing="0" w:after="0" w:afterAutospacing="0" w:line="500" w:lineRule="exact"/>
        <w:ind w:firstLine="420" w:firstLineChars="200"/>
        <w:jc w:val="both"/>
        <w:rPr>
          <w:color w:val="auto"/>
          <w:highlight w:val="none"/>
        </w:rPr>
      </w:pPr>
      <w:r>
        <w:rPr>
          <w:rFonts w:hint="eastAsia"/>
          <w:color w:val="auto"/>
          <w:sz w:val="21"/>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电话：</w:t>
      </w:r>
      <w:r>
        <w:rPr>
          <w:rFonts w:hint="eastAsia"/>
          <w:b w:val="0"/>
          <w:bCs w:val="0"/>
          <w:color w:val="auto"/>
          <w:sz w:val="21"/>
          <w:szCs w:val="21"/>
          <w:highlight w:val="none"/>
          <w:lang w:val="en-US" w:eastAsia="zh-CN"/>
        </w:rPr>
        <w:t>15351981275</w:t>
      </w:r>
    </w:p>
    <w:p w14:paraId="7FB4877D">
      <w:pPr>
        <w:pStyle w:val="19"/>
        <w:jc w:val="right"/>
        <w:rPr>
          <w:rFonts w:hint="eastAsia" w:ascii="宋体" w:hAnsi="宋体" w:eastAsia="宋体" w:cs="宋体"/>
          <w:color w:val="auto"/>
          <w:szCs w:val="32"/>
          <w:highlight w:val="none"/>
        </w:rPr>
      </w:pPr>
      <w:r>
        <w:rPr>
          <w:rFonts w:hint="eastAsia"/>
          <w:color w:val="auto"/>
          <w:sz w:val="21"/>
          <w:szCs w:val="21"/>
          <w:highlight w:val="none"/>
          <w:lang w:val="en-US" w:eastAsia="zh-CN"/>
        </w:rPr>
        <w:t>响水县大有镇康庄村村民委员会</w:t>
      </w:r>
      <w:r>
        <w:rPr>
          <w:rFonts w:hint="eastAsia"/>
          <w:color w:val="auto"/>
          <w:sz w:val="21"/>
          <w:szCs w:val="21"/>
          <w:highlight w:val="none"/>
        </w:rPr>
        <w:t xml:space="preserve"> </w:t>
      </w:r>
      <w:r>
        <w:rPr>
          <w:rFonts w:hint="eastAsia"/>
          <w:color w:val="auto"/>
          <w:sz w:val="21"/>
          <w:szCs w:val="21"/>
          <w:highlight w:val="none"/>
        </w:rPr>
        <w:br w:type="textWrapping"/>
      </w:r>
      <w:r>
        <w:rPr>
          <w:rFonts w:hint="eastAsia"/>
          <w:color w:val="auto"/>
          <w:sz w:val="21"/>
          <w:szCs w:val="21"/>
          <w:highlight w:val="none"/>
          <w:lang w:eastAsia="zh-CN"/>
        </w:rPr>
        <w:t>二〇二四年十</w:t>
      </w:r>
      <w:r>
        <w:rPr>
          <w:rFonts w:hint="eastAsia"/>
          <w:color w:val="auto"/>
          <w:sz w:val="21"/>
          <w:szCs w:val="21"/>
          <w:highlight w:val="none"/>
          <w:lang w:val="en-US" w:eastAsia="zh-CN"/>
        </w:rPr>
        <w:t>一</w:t>
      </w:r>
      <w:r>
        <w:rPr>
          <w:rFonts w:hint="eastAsia"/>
          <w:color w:val="auto"/>
          <w:sz w:val="21"/>
          <w:szCs w:val="21"/>
          <w:highlight w:val="none"/>
          <w:lang w:eastAsia="zh-CN"/>
        </w:rPr>
        <w:t>月</w:t>
      </w:r>
      <w:r>
        <w:rPr>
          <w:rFonts w:hint="eastAsia"/>
          <w:color w:val="auto"/>
          <w:sz w:val="21"/>
          <w:szCs w:val="21"/>
          <w:highlight w:val="none"/>
          <w:lang w:val="en-US" w:eastAsia="zh-CN"/>
        </w:rPr>
        <w:t>一</w:t>
      </w:r>
      <w:r>
        <w:rPr>
          <w:rFonts w:hint="eastAsia"/>
          <w:color w:val="auto"/>
          <w:sz w:val="21"/>
          <w:szCs w:val="21"/>
          <w:highlight w:val="none"/>
          <w:lang w:eastAsia="zh-CN"/>
        </w:rPr>
        <w:t>日</w:t>
      </w:r>
      <w:r>
        <w:rPr>
          <w:rFonts w:hint="eastAsia"/>
          <w:color w:val="auto"/>
          <w:sz w:val="21"/>
          <w:szCs w:val="21"/>
          <w:highlight w:val="none"/>
        </w:rPr>
        <w:t xml:space="preserve"> </w:t>
      </w:r>
    </w:p>
    <w:p w14:paraId="1B2FD86D">
      <w:pPr>
        <w:rPr>
          <w:rFonts w:hint="eastAsia"/>
          <w:color w:val="auto"/>
          <w:highlight w:val="none"/>
        </w:rPr>
      </w:pPr>
    </w:p>
    <w:p w14:paraId="726386FC">
      <w:pPr>
        <w:pStyle w:val="3"/>
        <w:spacing w:line="360" w:lineRule="auto"/>
        <w:jc w:val="center"/>
        <w:rPr>
          <w:rFonts w:hint="eastAsia" w:ascii="宋体" w:hAnsi="宋体" w:eastAsia="宋体" w:cs="宋体"/>
          <w:color w:val="auto"/>
          <w:szCs w:val="32"/>
          <w:highlight w:val="none"/>
        </w:rPr>
      </w:pPr>
      <w:bookmarkStart w:id="12" w:name="_Toc27788"/>
      <w:r>
        <w:rPr>
          <w:rFonts w:hint="eastAsia" w:ascii="宋体" w:hAnsi="宋体" w:eastAsia="宋体" w:cs="宋体"/>
          <w:color w:val="auto"/>
          <w:szCs w:val="32"/>
          <w:highlight w:val="none"/>
        </w:rPr>
        <w:t xml:space="preserve">第二章 </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rPr>
        <w:t>投标人须知</w:t>
      </w:r>
      <w:bookmarkEnd w:id="2"/>
      <w:bookmarkEnd w:id="3"/>
      <w:bookmarkEnd w:id="4"/>
      <w:bookmarkEnd w:id="5"/>
      <w:bookmarkEnd w:id="12"/>
      <w:bookmarkStart w:id="13" w:name="_Toc227657459"/>
      <w:bookmarkStart w:id="14" w:name="_Toc227492216"/>
      <w:bookmarkStart w:id="15" w:name="_Toc214433859"/>
      <w:bookmarkStart w:id="16" w:name="_Toc228589135"/>
      <w:bookmarkStart w:id="17" w:name="_Toc228337070"/>
      <w:bookmarkStart w:id="18" w:name="_Toc228591481"/>
      <w:bookmarkStart w:id="19" w:name="_Toc228591629"/>
    </w:p>
    <w:p w14:paraId="3EB1268B">
      <w:pPr>
        <w:autoSpaceDE w:val="0"/>
        <w:autoSpaceDN w:val="0"/>
        <w:adjustRightInd w:val="0"/>
        <w:spacing w:line="420" w:lineRule="exact"/>
        <w:jc w:val="center"/>
        <w:outlineLvl w:val="0"/>
        <w:rPr>
          <w:rFonts w:ascii="宋体" w:hAnsi="宋体" w:cs="宋体"/>
          <w:b/>
          <w:color w:val="auto"/>
          <w:kern w:val="0"/>
          <w:sz w:val="28"/>
          <w:highlight w:val="none"/>
        </w:rPr>
      </w:pPr>
      <w:bookmarkStart w:id="20" w:name="_Toc13209"/>
      <w:bookmarkStart w:id="21" w:name="_Toc302986166"/>
      <w:bookmarkStart w:id="22" w:name="_Toc228881133"/>
      <w:r>
        <w:rPr>
          <w:rFonts w:hint="eastAsia" w:ascii="宋体" w:hAnsi="宋体" w:cs="宋体"/>
          <w:b/>
          <w:color w:val="auto"/>
          <w:kern w:val="0"/>
          <w:sz w:val="28"/>
          <w:highlight w:val="none"/>
        </w:rPr>
        <w:t>投标人须知前附表</w:t>
      </w:r>
      <w:bookmarkEnd w:id="13"/>
      <w:bookmarkEnd w:id="14"/>
      <w:bookmarkEnd w:id="15"/>
      <w:bookmarkEnd w:id="16"/>
      <w:bookmarkEnd w:id="17"/>
      <w:bookmarkEnd w:id="18"/>
      <w:bookmarkEnd w:id="19"/>
      <w:bookmarkEnd w:id="20"/>
      <w:bookmarkEnd w:id="21"/>
      <w:bookmarkEnd w:id="22"/>
    </w:p>
    <w:tbl>
      <w:tblPr>
        <w:tblStyle w:val="15"/>
        <w:tblW w:w="9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3845"/>
        <w:gridCol w:w="4518"/>
      </w:tblGrid>
      <w:tr w14:paraId="7A558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63BD5D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条款号</w:t>
            </w:r>
          </w:p>
        </w:tc>
        <w:tc>
          <w:tcPr>
            <w:tcW w:w="3845" w:type="dxa"/>
            <w:vAlign w:val="center"/>
          </w:tcPr>
          <w:p w14:paraId="242D8C1C">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条 款 名 称</w:t>
            </w:r>
          </w:p>
        </w:tc>
        <w:tc>
          <w:tcPr>
            <w:tcW w:w="4518" w:type="dxa"/>
            <w:vAlign w:val="center"/>
          </w:tcPr>
          <w:p w14:paraId="6F53F8E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编 列 内 容</w:t>
            </w:r>
          </w:p>
        </w:tc>
      </w:tr>
      <w:tr w14:paraId="7E90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935" w:type="dxa"/>
            <w:vAlign w:val="center"/>
          </w:tcPr>
          <w:p w14:paraId="01FB4CD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1.1.2</w:t>
            </w:r>
          </w:p>
        </w:tc>
        <w:tc>
          <w:tcPr>
            <w:tcW w:w="3845" w:type="dxa"/>
            <w:vAlign w:val="center"/>
          </w:tcPr>
          <w:p w14:paraId="6956D654">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招标人</w:t>
            </w:r>
          </w:p>
        </w:tc>
        <w:tc>
          <w:tcPr>
            <w:tcW w:w="4518" w:type="dxa"/>
          </w:tcPr>
          <w:p w14:paraId="244BEFBB">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响水县大有镇康庄村村民委员会</w:t>
            </w:r>
          </w:p>
          <w:p w14:paraId="12A2ECCA">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联系人：张玉海    </w:t>
            </w:r>
          </w:p>
          <w:p w14:paraId="3FA0BEB7">
            <w:pPr>
              <w:keepNext w:val="0"/>
              <w:keepLines w:val="0"/>
              <w:pageBreakBefore w:val="0"/>
              <w:kinsoku/>
              <w:wordWrap/>
              <w:overflowPunct/>
              <w:topLinePunct w:val="0"/>
              <w:autoSpaceDE w:val="0"/>
              <w:autoSpaceDN w:val="0"/>
              <w:bidi w:val="0"/>
              <w:adjustRightInd w:val="0"/>
              <w:spacing w:line="400" w:lineRule="exact"/>
              <w:textAlignment w:val="auto"/>
              <w:rPr>
                <w:rFonts w:hint="default" w:ascii="宋体" w:hAnsi="宋体" w:eastAsia="宋体" w:cs="宋体"/>
                <w:color w:val="auto"/>
                <w:kern w:val="0"/>
                <w:sz w:val="28"/>
                <w:highlight w:val="none"/>
                <w:lang w:val="en-US" w:eastAsia="zh-CN"/>
              </w:rPr>
            </w:pPr>
            <w:r>
              <w:rPr>
                <w:rFonts w:hint="eastAsia" w:ascii="宋体" w:hAnsi="宋体" w:cs="宋体"/>
                <w:color w:val="auto"/>
                <w:szCs w:val="21"/>
                <w:highlight w:val="none"/>
              </w:rPr>
              <w:t>电话：</w:t>
            </w:r>
            <w:r>
              <w:rPr>
                <w:rFonts w:hint="eastAsia" w:ascii="宋体" w:hAnsi="宋体" w:cs="宋体"/>
                <w:color w:val="auto"/>
                <w:szCs w:val="21"/>
                <w:highlight w:val="none"/>
                <w:lang w:val="en-US" w:eastAsia="zh-CN"/>
              </w:rPr>
              <w:t>18762519666</w:t>
            </w:r>
          </w:p>
        </w:tc>
      </w:tr>
      <w:tr w14:paraId="0E7BD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trPr>
        <w:tc>
          <w:tcPr>
            <w:tcW w:w="935" w:type="dxa"/>
            <w:vAlign w:val="center"/>
          </w:tcPr>
          <w:p w14:paraId="1B37756C">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1.1.3</w:t>
            </w:r>
          </w:p>
        </w:tc>
        <w:tc>
          <w:tcPr>
            <w:tcW w:w="3845" w:type="dxa"/>
            <w:vAlign w:val="center"/>
          </w:tcPr>
          <w:p w14:paraId="21DE2DF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代理机构</w:t>
            </w:r>
          </w:p>
        </w:tc>
        <w:tc>
          <w:tcPr>
            <w:tcW w:w="4518" w:type="dxa"/>
          </w:tcPr>
          <w:p w14:paraId="27221871">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盐城鸿锦项目管理有限公司</w:t>
            </w:r>
            <w:r>
              <w:rPr>
                <w:rFonts w:hint="eastAsia" w:ascii="宋体" w:hAnsi="宋体" w:cs="宋体"/>
                <w:color w:val="auto"/>
                <w:szCs w:val="21"/>
                <w:highlight w:val="none"/>
              </w:rPr>
              <w:t xml:space="preserve"> </w:t>
            </w:r>
          </w:p>
          <w:p w14:paraId="35B8B882">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联系人：</w:t>
            </w:r>
            <w:r>
              <w:rPr>
                <w:rFonts w:hint="eastAsia"/>
                <w:color w:val="auto"/>
                <w:sz w:val="21"/>
                <w:szCs w:val="21"/>
                <w:highlight w:val="none"/>
                <w:lang w:val="en-US" w:eastAsia="zh-CN"/>
              </w:rPr>
              <w:t>刘女士</w:t>
            </w:r>
            <w:r>
              <w:rPr>
                <w:rFonts w:hint="eastAsia"/>
                <w:color w:val="auto"/>
                <w:sz w:val="21"/>
                <w:szCs w:val="21"/>
                <w:highlight w:val="none"/>
              </w:rPr>
              <w:t xml:space="preserve"> </w:t>
            </w:r>
          </w:p>
          <w:p w14:paraId="7BEDA8A5">
            <w:pPr>
              <w:keepNext w:val="0"/>
              <w:keepLines w:val="0"/>
              <w:pageBreakBefore w:val="0"/>
              <w:kinsoku/>
              <w:wordWrap/>
              <w:overflowPunct/>
              <w:topLinePunct w:val="0"/>
              <w:autoSpaceDE w:val="0"/>
              <w:autoSpaceDN w:val="0"/>
              <w:bidi w:val="0"/>
              <w:adjustRightInd w:val="0"/>
              <w:spacing w:line="400" w:lineRule="exact"/>
              <w:textAlignment w:val="auto"/>
              <w:rPr>
                <w:rFonts w:hint="default" w:ascii="宋体" w:hAnsi="宋体" w:eastAsia="宋体" w:cs="宋体"/>
                <w:color w:val="auto"/>
                <w:kern w:val="0"/>
                <w:highlight w:val="none"/>
                <w:lang w:val="en-US" w:eastAsia="zh-CN"/>
              </w:rPr>
            </w:pPr>
            <w:r>
              <w:rPr>
                <w:rFonts w:hint="eastAsia" w:ascii="宋体" w:hAnsi="宋体" w:cs="宋体"/>
                <w:color w:val="auto"/>
                <w:szCs w:val="21"/>
                <w:highlight w:val="none"/>
              </w:rPr>
              <w:t>电  话：</w:t>
            </w:r>
            <w:r>
              <w:rPr>
                <w:rFonts w:hint="eastAsia" w:ascii="宋体" w:hAnsi="宋体" w:eastAsia="宋体" w:cs="宋体"/>
                <w:color w:val="auto"/>
                <w:szCs w:val="21"/>
                <w:highlight w:val="none"/>
                <w:lang w:val="en-US" w:eastAsia="zh-CN"/>
              </w:rPr>
              <w:t>15351981275</w:t>
            </w:r>
          </w:p>
        </w:tc>
      </w:tr>
      <w:tr w14:paraId="2BDE6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2CCE041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1.1.4</w:t>
            </w:r>
          </w:p>
        </w:tc>
        <w:tc>
          <w:tcPr>
            <w:tcW w:w="3845" w:type="dxa"/>
            <w:vAlign w:val="center"/>
          </w:tcPr>
          <w:p w14:paraId="2B0DA769">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项目名称</w:t>
            </w:r>
          </w:p>
        </w:tc>
        <w:tc>
          <w:tcPr>
            <w:tcW w:w="4518" w:type="dxa"/>
            <w:vAlign w:val="center"/>
          </w:tcPr>
          <w:p w14:paraId="7B05ADB3">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kern w:val="0"/>
                <w:highlight w:val="none"/>
                <w:lang w:eastAsia="zh-CN"/>
              </w:rPr>
            </w:pPr>
            <w:r>
              <w:rPr>
                <w:rFonts w:hint="eastAsia"/>
                <w:color w:val="auto"/>
                <w:szCs w:val="21"/>
                <w:highlight w:val="none"/>
                <w:lang w:eastAsia="zh-CN"/>
              </w:rPr>
              <w:t>响水县大有镇康庄村“学前路到东直河堆路”改造工程</w:t>
            </w:r>
          </w:p>
        </w:tc>
      </w:tr>
      <w:tr w14:paraId="49B4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E0DBF5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1.1.5</w:t>
            </w:r>
          </w:p>
        </w:tc>
        <w:tc>
          <w:tcPr>
            <w:tcW w:w="3845" w:type="dxa"/>
            <w:vAlign w:val="center"/>
          </w:tcPr>
          <w:p w14:paraId="63A603CD">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建设地点</w:t>
            </w:r>
          </w:p>
        </w:tc>
        <w:tc>
          <w:tcPr>
            <w:tcW w:w="4518" w:type="dxa"/>
            <w:vAlign w:val="center"/>
          </w:tcPr>
          <w:p w14:paraId="2C28255A">
            <w:pPr>
              <w:keepNext w:val="0"/>
              <w:keepLines w:val="0"/>
              <w:pageBreakBefore w:val="0"/>
              <w:kinsoku/>
              <w:wordWrap/>
              <w:overflowPunct/>
              <w:topLinePunct w:val="0"/>
              <w:autoSpaceDE w:val="0"/>
              <w:autoSpaceDN w:val="0"/>
              <w:bidi w:val="0"/>
              <w:adjustRightInd w:val="0"/>
              <w:spacing w:line="400" w:lineRule="exact"/>
              <w:textAlignment w:val="auto"/>
              <w:rPr>
                <w:rFonts w:hint="eastAsia" w:ascii="宋体" w:hAnsi="宋体" w:eastAsia="宋体" w:cs="宋体"/>
                <w:color w:val="auto"/>
                <w:kern w:val="0"/>
                <w:highlight w:val="none"/>
                <w:lang w:eastAsia="zh-CN"/>
              </w:rPr>
            </w:pPr>
            <w:r>
              <w:rPr>
                <w:rFonts w:hint="eastAsia" w:ascii="宋体" w:hAnsi="宋体" w:cs="宋体"/>
                <w:color w:val="auto"/>
                <w:szCs w:val="21"/>
                <w:highlight w:val="none"/>
                <w:lang w:eastAsia="zh-CN"/>
              </w:rPr>
              <w:t>响水县响水镇康庄村</w:t>
            </w:r>
          </w:p>
        </w:tc>
      </w:tr>
      <w:tr w14:paraId="27CE9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5B7D18A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1.2.1</w:t>
            </w:r>
          </w:p>
        </w:tc>
        <w:tc>
          <w:tcPr>
            <w:tcW w:w="3845" w:type="dxa"/>
            <w:vAlign w:val="center"/>
          </w:tcPr>
          <w:p w14:paraId="40D0047E">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资金来源</w:t>
            </w:r>
          </w:p>
        </w:tc>
        <w:tc>
          <w:tcPr>
            <w:tcW w:w="4518" w:type="dxa"/>
          </w:tcPr>
          <w:p w14:paraId="2DA7A5E7">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已落实</w:t>
            </w:r>
          </w:p>
        </w:tc>
      </w:tr>
      <w:tr w14:paraId="7E3C7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34E54A2">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1.2.2</w:t>
            </w:r>
          </w:p>
        </w:tc>
        <w:tc>
          <w:tcPr>
            <w:tcW w:w="3845" w:type="dxa"/>
            <w:vAlign w:val="center"/>
          </w:tcPr>
          <w:p w14:paraId="091F6A1B">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出资比例</w:t>
            </w:r>
          </w:p>
        </w:tc>
        <w:tc>
          <w:tcPr>
            <w:tcW w:w="4518" w:type="dxa"/>
          </w:tcPr>
          <w:p w14:paraId="1457607E">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sz w:val="28"/>
                <w:highlight w:val="none"/>
              </w:rPr>
            </w:pPr>
            <w:r>
              <w:rPr>
                <w:rFonts w:hint="eastAsia" w:ascii="宋体" w:hAnsi="宋体" w:cs="宋体"/>
                <w:color w:val="auto"/>
                <w:kern w:val="0"/>
                <w:sz w:val="28"/>
                <w:highlight w:val="none"/>
              </w:rPr>
              <w:t>/</w:t>
            </w:r>
          </w:p>
        </w:tc>
      </w:tr>
      <w:tr w14:paraId="005BD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935" w:type="dxa"/>
            <w:vAlign w:val="center"/>
          </w:tcPr>
          <w:p w14:paraId="57B7CC9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1.2.3</w:t>
            </w:r>
          </w:p>
        </w:tc>
        <w:tc>
          <w:tcPr>
            <w:tcW w:w="3845" w:type="dxa"/>
            <w:vAlign w:val="center"/>
          </w:tcPr>
          <w:p w14:paraId="51762BD1">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资金落实情况</w:t>
            </w:r>
          </w:p>
        </w:tc>
        <w:tc>
          <w:tcPr>
            <w:tcW w:w="4518" w:type="dxa"/>
          </w:tcPr>
          <w:p w14:paraId="7C7780B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项目资金已落实</w:t>
            </w:r>
          </w:p>
        </w:tc>
      </w:tr>
      <w:tr w14:paraId="6B2D7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CEF0F93">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1.3.1</w:t>
            </w:r>
          </w:p>
        </w:tc>
        <w:tc>
          <w:tcPr>
            <w:tcW w:w="3845" w:type="dxa"/>
            <w:vAlign w:val="center"/>
          </w:tcPr>
          <w:p w14:paraId="76673E25">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招标范围</w:t>
            </w:r>
          </w:p>
        </w:tc>
        <w:tc>
          <w:tcPr>
            <w:tcW w:w="4518" w:type="dxa"/>
            <w:tcBorders>
              <w:bottom w:val="single" w:color="auto" w:sz="4" w:space="0"/>
            </w:tcBorders>
          </w:tcPr>
          <w:p w14:paraId="7171CFED">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工</w:t>
            </w:r>
            <w:bookmarkStart w:id="23" w:name="OLE_LINK12"/>
            <w:r>
              <w:rPr>
                <w:rFonts w:hint="eastAsia" w:ascii="宋体" w:hAnsi="宋体" w:cs="宋体"/>
                <w:color w:val="auto"/>
                <w:kern w:val="0"/>
                <w:highlight w:val="none"/>
              </w:rPr>
              <w:t>程量清单范围内全</w:t>
            </w:r>
            <w:bookmarkEnd w:id="23"/>
            <w:r>
              <w:rPr>
                <w:rFonts w:hint="eastAsia" w:ascii="宋体" w:hAnsi="宋体" w:cs="宋体"/>
                <w:color w:val="auto"/>
                <w:kern w:val="0"/>
                <w:highlight w:val="none"/>
              </w:rPr>
              <w:t>部内容</w:t>
            </w:r>
          </w:p>
        </w:tc>
      </w:tr>
      <w:tr w14:paraId="0D611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5" w:type="dxa"/>
            <w:vAlign w:val="center"/>
          </w:tcPr>
          <w:p w14:paraId="3620363E">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1.3.2</w:t>
            </w:r>
          </w:p>
        </w:tc>
        <w:tc>
          <w:tcPr>
            <w:tcW w:w="3845" w:type="dxa"/>
            <w:tcBorders>
              <w:right w:val="single" w:color="auto" w:sz="4" w:space="0"/>
            </w:tcBorders>
            <w:vAlign w:val="center"/>
          </w:tcPr>
          <w:p w14:paraId="14C28A3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计划工期</w:t>
            </w:r>
          </w:p>
        </w:tc>
        <w:tc>
          <w:tcPr>
            <w:tcW w:w="4518" w:type="dxa"/>
            <w:tcBorders>
              <w:top w:val="single" w:color="auto" w:sz="4" w:space="0"/>
              <w:left w:val="single" w:color="auto" w:sz="4" w:space="0"/>
              <w:bottom w:val="single" w:color="auto" w:sz="4" w:space="0"/>
              <w:right w:val="single" w:color="auto" w:sz="4" w:space="0"/>
            </w:tcBorders>
          </w:tcPr>
          <w:p w14:paraId="100E7081">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bookmarkStart w:id="24" w:name="OLE_LINK13"/>
            <w:r>
              <w:rPr>
                <w:rFonts w:hint="eastAsia" w:ascii="宋体" w:hAnsi="宋体" w:cs="宋体"/>
                <w:color w:val="auto"/>
                <w:kern w:val="0"/>
                <w:highlight w:val="none"/>
                <w:lang w:val="en-US" w:eastAsia="zh-CN"/>
              </w:rPr>
              <w:t>35</w:t>
            </w:r>
            <w:r>
              <w:rPr>
                <w:rFonts w:hint="eastAsia" w:ascii="宋体" w:hAnsi="宋体" w:cs="宋体"/>
                <w:color w:val="auto"/>
                <w:kern w:val="0"/>
                <w:highlight w:val="none"/>
              </w:rPr>
              <w:t>日历天</w:t>
            </w:r>
            <w:bookmarkEnd w:id="24"/>
          </w:p>
        </w:tc>
      </w:tr>
      <w:tr w14:paraId="3F9D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3885E4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1.3.3</w:t>
            </w:r>
          </w:p>
        </w:tc>
        <w:tc>
          <w:tcPr>
            <w:tcW w:w="3845" w:type="dxa"/>
            <w:vAlign w:val="center"/>
          </w:tcPr>
          <w:p w14:paraId="5FAF3CD9">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质量要求</w:t>
            </w:r>
          </w:p>
        </w:tc>
        <w:tc>
          <w:tcPr>
            <w:tcW w:w="4518" w:type="dxa"/>
            <w:tcBorders>
              <w:top w:val="single" w:color="auto" w:sz="4" w:space="0"/>
            </w:tcBorders>
          </w:tcPr>
          <w:p w14:paraId="60530209">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合格</w:t>
            </w:r>
          </w:p>
        </w:tc>
      </w:tr>
      <w:tr w14:paraId="2173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935" w:type="dxa"/>
            <w:vAlign w:val="center"/>
          </w:tcPr>
          <w:p w14:paraId="2A83B15A">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1.4.1</w:t>
            </w:r>
          </w:p>
        </w:tc>
        <w:tc>
          <w:tcPr>
            <w:tcW w:w="3845" w:type="dxa"/>
            <w:vAlign w:val="center"/>
          </w:tcPr>
          <w:p w14:paraId="410900A6">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投标人资质条件、能力和信誉</w:t>
            </w:r>
          </w:p>
        </w:tc>
        <w:tc>
          <w:tcPr>
            <w:tcW w:w="4518" w:type="dxa"/>
          </w:tcPr>
          <w:p w14:paraId="6BF48160">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r>
              <w:rPr>
                <w:rFonts w:hint="default" w:ascii="宋体" w:hAnsi="宋体" w:eastAsia="宋体" w:cs="宋体"/>
                <w:color w:val="auto"/>
                <w:kern w:val="0"/>
                <w:szCs w:val="21"/>
                <w:highlight w:val="none"/>
                <w:lang w:val="en-US" w:eastAsia="zh-CN"/>
              </w:rPr>
              <w:t>投标人须</w:t>
            </w:r>
            <w:r>
              <w:rPr>
                <w:rFonts w:hint="eastAsia" w:ascii="宋体" w:hAnsi="宋体" w:cs="宋体"/>
                <w:color w:val="auto"/>
                <w:kern w:val="0"/>
                <w:sz w:val="21"/>
                <w:szCs w:val="21"/>
                <w:highlight w:val="none"/>
                <w:lang w:val="en-US" w:eastAsia="zh-CN" w:bidi="ar-SA"/>
              </w:rPr>
              <w:t>具有</w:t>
            </w:r>
            <w:r>
              <w:rPr>
                <w:rFonts w:hint="eastAsia" w:ascii="宋体" w:hAnsi="宋体" w:eastAsia="宋体" w:cs="宋体"/>
                <w:b/>
                <w:bCs/>
                <w:i w:val="0"/>
                <w:iCs w:val="0"/>
                <w:caps w:val="0"/>
                <w:color w:val="auto"/>
                <w:spacing w:val="0"/>
                <w:sz w:val="21"/>
                <w:szCs w:val="21"/>
                <w:highlight w:val="none"/>
                <w:u w:val="single"/>
                <w:shd w:val="clear" w:fill="FFFFFF"/>
              </w:rPr>
              <w:t>行政主管部门核发公路工程施工总承包三级及以上或同时具有公路路基工程和公路路面工程专业承包三级及以上</w:t>
            </w:r>
            <w:r>
              <w:rPr>
                <w:rFonts w:hint="eastAsia" w:ascii="宋体" w:hAnsi="宋体" w:cs="宋体"/>
                <w:color w:val="auto"/>
                <w:kern w:val="0"/>
                <w:sz w:val="21"/>
                <w:szCs w:val="21"/>
                <w:highlight w:val="none"/>
                <w:lang w:val="en-US" w:eastAsia="zh-CN" w:bidi="ar-SA"/>
              </w:rPr>
              <w:t>施工资质的独立法人，并具有安全生产许可证</w:t>
            </w:r>
            <w:r>
              <w:rPr>
                <w:rFonts w:hint="default" w:ascii="宋体" w:hAnsi="宋体" w:eastAsia="宋体" w:cs="宋体"/>
                <w:color w:val="auto"/>
                <w:kern w:val="0"/>
                <w:szCs w:val="21"/>
                <w:highlight w:val="none"/>
                <w:lang w:val="en-US" w:eastAsia="zh-CN"/>
              </w:rPr>
              <w:t>。</w:t>
            </w:r>
          </w:p>
          <w:p w14:paraId="3EA4FDBD">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2.投标人拟派项目负责人</w:t>
            </w:r>
            <w:r>
              <w:rPr>
                <w:rFonts w:hint="eastAsia" w:ascii="宋体" w:hAnsi="宋体" w:cs="宋体"/>
                <w:color w:val="auto"/>
                <w:kern w:val="0"/>
                <w:sz w:val="21"/>
                <w:szCs w:val="21"/>
                <w:highlight w:val="none"/>
                <w:lang w:val="en-US" w:eastAsia="zh-CN" w:bidi="ar-SA"/>
              </w:rPr>
              <w:t>具有公路工程专业二级及以上建造师资格，同时应具有安全生产考核合格证（B类）</w:t>
            </w:r>
            <w:r>
              <w:rPr>
                <w:rFonts w:hint="default" w:ascii="宋体" w:hAnsi="宋体" w:eastAsia="宋体" w:cs="宋体"/>
                <w:color w:val="auto"/>
                <w:kern w:val="0"/>
                <w:szCs w:val="21"/>
                <w:highlight w:val="none"/>
                <w:lang w:val="en-US" w:eastAsia="zh-CN"/>
              </w:rPr>
              <w:t>。</w:t>
            </w:r>
          </w:p>
          <w:p w14:paraId="44828E94">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default"/>
                <w:color w:val="auto"/>
                <w:highlight w:val="none"/>
                <w:lang w:val="en-US" w:eastAsia="zh-CN"/>
              </w:rPr>
            </w:pPr>
            <w:r>
              <w:rPr>
                <w:rFonts w:hint="default"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投标人必须保证授权委托人（如果有）、项目负责人为本单位的正式职工，投标时提供从2024年</w:t>
            </w:r>
            <w:r>
              <w:rPr>
                <w:rFonts w:hint="eastAsia" w:ascii="宋体" w:hAnsi="宋体" w:cs="宋体"/>
                <w:color w:val="auto"/>
                <w:kern w:val="0"/>
                <w:szCs w:val="21"/>
                <w:highlight w:val="none"/>
                <w:lang w:val="en-US" w:eastAsia="zh-CN"/>
              </w:rPr>
              <w:t>4</w:t>
            </w:r>
            <w:r>
              <w:rPr>
                <w:rFonts w:hint="default" w:ascii="宋体" w:hAnsi="宋体" w:eastAsia="宋体" w:cs="宋体"/>
                <w:color w:val="auto"/>
                <w:kern w:val="0"/>
                <w:szCs w:val="21"/>
                <w:highlight w:val="none"/>
                <w:lang w:val="en-US" w:eastAsia="zh-CN"/>
              </w:rPr>
              <w:t>月开始至投标截止之日当月至少</w:t>
            </w:r>
            <w:r>
              <w:rPr>
                <w:rFonts w:hint="eastAsia" w:ascii="宋体" w:hAnsi="宋体" w:cs="宋体"/>
                <w:color w:val="auto"/>
                <w:kern w:val="0"/>
                <w:szCs w:val="21"/>
                <w:highlight w:val="none"/>
                <w:lang w:val="en-US" w:eastAsia="zh-CN"/>
              </w:rPr>
              <w:t>6</w:t>
            </w:r>
            <w:r>
              <w:rPr>
                <w:rFonts w:hint="default" w:ascii="宋体" w:hAnsi="宋体" w:eastAsia="宋体" w:cs="宋体"/>
                <w:color w:val="auto"/>
                <w:kern w:val="0"/>
                <w:szCs w:val="21"/>
                <w:highlight w:val="none"/>
                <w:lang w:val="en-US" w:eastAsia="zh-CN"/>
              </w:rPr>
              <w:t>个月在本单位缴纳养老保险缴费记录证明。（项目负责人可以作为授权委托人）</w:t>
            </w:r>
          </w:p>
          <w:p w14:paraId="3E944476">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default" w:ascii="宋体" w:hAnsi="宋体" w:eastAsia="宋体" w:cs="宋体"/>
                <w:color w:val="auto"/>
                <w:kern w:val="0"/>
                <w:szCs w:val="21"/>
                <w:highlight w:val="none"/>
                <w:lang w:val="en-US" w:eastAsia="zh-CN"/>
              </w:rPr>
              <w:t>.本次招标不接受联合体投标</w:t>
            </w:r>
            <w:r>
              <w:rPr>
                <w:rFonts w:hint="eastAsia" w:ascii="宋体" w:hAnsi="宋体" w:eastAsia="宋体" w:cs="宋体"/>
                <w:color w:val="auto"/>
                <w:kern w:val="0"/>
                <w:szCs w:val="21"/>
                <w:highlight w:val="none"/>
                <w:lang w:val="en-US" w:eastAsia="zh-CN"/>
              </w:rPr>
              <w:t>。</w:t>
            </w:r>
          </w:p>
          <w:p w14:paraId="73F2E99D">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5</w:t>
            </w:r>
            <w:r>
              <w:rPr>
                <w:rFonts w:hint="eastAsia" w:ascii="宋体" w:hAnsi="宋体" w:eastAsia="宋体" w:cs="宋体"/>
                <w:color w:val="auto"/>
                <w:kern w:val="0"/>
                <w:szCs w:val="21"/>
                <w:highlight w:val="none"/>
                <w:lang w:val="en-US" w:eastAsia="zh-CN"/>
              </w:rPr>
              <w:t>.财务要求：投标人应具有独立订立合同的能力，未处于财产全部被接管、冻结和破产状态。</w:t>
            </w:r>
          </w:p>
          <w:p w14:paraId="1C7F0CC8">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.业绩要求：无。</w:t>
            </w:r>
          </w:p>
          <w:p w14:paraId="27C66F3E">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.信誉要求：投标人没有被国家、江苏省省级有关部门及盐城市市级有关部门和响水县县级有关部门暂停招投标或市场准入资格且在暂停期内。</w:t>
            </w:r>
          </w:p>
          <w:p w14:paraId="7BBC746B">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的失信被执行人信息在“信用中国”、“信用江苏”网站上被公布的，自载明的发布之日开始，直至撤销或者更正信息中载明的发布时间的期间，本项目的招标人拒绝其投标，资格审查不予通过，不得被确定为中标候选人、中标人。在一次招投标活动中，资格预审申请人、投标人或者中标候选人因正被列为失信被执行人，导致其资格预审不通过或者被取消中标候选人资格、中标人资格的，不因其之后失信信息被撤销或更正而改变已经作出的决定。</w:t>
            </w:r>
          </w:p>
          <w:p w14:paraId="46C7D273">
            <w:pPr>
              <w:keepNext w:val="0"/>
              <w:keepLines w:val="0"/>
              <w:pageBreakBefore w:val="0"/>
              <w:widowControl/>
              <w:shd w:val="clear" w:color="auto" w:fill="FFFFFF"/>
              <w:kinsoku/>
              <w:wordWrap/>
              <w:overflowPunct/>
              <w:topLinePunct w:val="0"/>
              <w:bidi w:val="0"/>
              <w:spacing w:line="400" w:lineRule="exact"/>
              <w:ind w:firstLine="420"/>
              <w:jc w:val="left"/>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投标人存在失信被执行人信息的，按《关于在公共资源交易领域的招标投标活动中建立对失信被执行人联合惩戒机制的实施意见》（苏信用办（2018）23号）文件精神执行。</w:t>
            </w:r>
          </w:p>
          <w:p w14:paraId="29F3A5E4">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r>
              <w:rPr>
                <w:rFonts w:hint="default" w:ascii="宋体" w:hAnsi="宋体" w:eastAsia="宋体" w:cs="宋体"/>
                <w:color w:val="auto"/>
                <w:kern w:val="0"/>
                <w:szCs w:val="21"/>
                <w:highlight w:val="none"/>
                <w:lang w:val="en-US" w:eastAsia="zh-CN"/>
              </w:rPr>
              <w:t xml:space="preserve">项目负责人从本工程投标文件递交截止之日起必须满足下列条件： </w:t>
            </w:r>
          </w:p>
          <w:p w14:paraId="3E4A0496">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8.1项目负责人不得同时在两个或者两个以上单位受聘或者执业：</w:t>
            </w:r>
          </w:p>
          <w:p w14:paraId="72FE8269">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（1）同时在两个及以上单位签订劳动合同或</w:t>
            </w:r>
            <w:r>
              <w:rPr>
                <w:rFonts w:hint="eastAsia" w:ascii="宋体" w:hAnsi="宋体" w:cs="宋体"/>
                <w:color w:val="auto"/>
                <w:kern w:val="0"/>
                <w:szCs w:val="21"/>
                <w:highlight w:val="none"/>
                <w:lang w:val="en-US" w:eastAsia="zh-CN"/>
              </w:rPr>
              <w:t>缴纳</w:t>
            </w:r>
            <w:r>
              <w:rPr>
                <w:rFonts w:hint="default" w:ascii="宋体" w:hAnsi="宋体" w:eastAsia="宋体" w:cs="宋体"/>
                <w:color w:val="auto"/>
                <w:kern w:val="0"/>
                <w:szCs w:val="21"/>
                <w:highlight w:val="none"/>
                <w:lang w:val="en-US" w:eastAsia="zh-CN"/>
              </w:rPr>
              <w:t xml:space="preserve">社会保险； </w:t>
            </w:r>
          </w:p>
          <w:p w14:paraId="648A9A67">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 xml:space="preserve">（2）将本人执（职）业资格证书同时注册在两个及以上单位； </w:t>
            </w:r>
          </w:p>
          <w:p w14:paraId="3F3F6DB4">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 xml:space="preserve">（3）项目负责人担任其他公司法定代表人。 </w:t>
            </w:r>
          </w:p>
          <w:p w14:paraId="6CFB1127">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9.</w:t>
            </w:r>
            <w:r>
              <w:rPr>
                <w:rFonts w:hint="default" w:ascii="宋体" w:hAnsi="宋体" w:eastAsia="宋体" w:cs="宋体"/>
                <w:color w:val="auto"/>
                <w:kern w:val="0"/>
                <w:szCs w:val="21"/>
                <w:highlight w:val="none"/>
                <w:lang w:val="en-US" w:eastAsia="zh-CN"/>
              </w:rPr>
              <w:t>项目负责人是非变更后无在建工程，或项目负责人是变更后无在建工程（必须原合同工期已满且变更备案之日已满6个月），或因非承包方原因致使工程项目停工或因故不能按期开工</w:t>
            </w:r>
            <w:r>
              <w:rPr>
                <w:rFonts w:hint="eastAsia" w:ascii="宋体" w:hAnsi="宋体" w:cs="宋体"/>
                <w:color w:val="auto"/>
                <w:kern w:val="0"/>
                <w:szCs w:val="21"/>
                <w:highlight w:val="none"/>
                <w:lang w:val="en-US" w:eastAsia="zh-CN"/>
              </w:rPr>
              <w:t>且</w:t>
            </w:r>
            <w:r>
              <w:rPr>
                <w:rFonts w:hint="default" w:ascii="宋体" w:hAnsi="宋体" w:eastAsia="宋体" w:cs="宋体"/>
                <w:color w:val="auto"/>
                <w:kern w:val="0"/>
                <w:szCs w:val="21"/>
                <w:highlight w:val="none"/>
                <w:lang w:val="en-US" w:eastAsia="zh-CN"/>
              </w:rPr>
              <w:t xml:space="preserve">已办理了项目负责人解锁手续，或项目负责人有在建工程，但该在建工程与本次招标的工程属于同一工程项目、同一项目批文、同一施工地点分段发包或分期施工的情况且总的工程规模在项目负责人执业范围之内。 </w:t>
            </w:r>
          </w:p>
          <w:p w14:paraId="0FCC0431">
            <w:pPr>
              <w:keepNext w:val="0"/>
              <w:keepLines w:val="0"/>
              <w:pageBreakBefore w:val="0"/>
              <w:widowControl/>
              <w:shd w:val="clear" w:color="auto" w:fill="FFFFFF"/>
              <w:kinsoku/>
              <w:wordWrap/>
              <w:overflowPunct/>
              <w:topLinePunct w:val="0"/>
              <w:bidi w:val="0"/>
              <w:spacing w:line="400" w:lineRule="exact"/>
              <w:jc w:val="left"/>
              <w:textAlignment w:val="auto"/>
              <w:rPr>
                <w:rFonts w:hint="default" w:ascii="宋体" w:hAnsi="宋体" w:eastAsia="宋体" w:cs="宋体"/>
                <w:color w:val="auto"/>
                <w:kern w:val="0"/>
                <w:szCs w:val="21"/>
                <w:highlight w:val="none"/>
                <w:lang w:val="en-US" w:eastAsia="zh-CN"/>
              </w:rPr>
            </w:pPr>
            <w:r>
              <w:rPr>
                <w:rFonts w:hint="default" w:ascii="宋体" w:hAnsi="宋体" w:eastAsia="宋体" w:cs="宋体"/>
                <w:color w:val="auto"/>
                <w:kern w:val="0"/>
                <w:szCs w:val="21"/>
                <w:highlight w:val="none"/>
                <w:lang w:val="en-US" w:eastAsia="zh-CN"/>
              </w:rPr>
              <w:t>在建工程指处于中标结果公告</w:t>
            </w:r>
            <w:r>
              <w:rPr>
                <w:rFonts w:hint="eastAsia" w:ascii="宋体" w:hAnsi="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直接发包的项目以网上合同备案为准</w:t>
            </w:r>
            <w:r>
              <w:rPr>
                <w:rFonts w:hint="eastAsia" w:ascii="宋体" w:hAnsi="宋体" w:cs="宋体"/>
                <w:color w:val="auto"/>
                <w:kern w:val="0"/>
                <w:szCs w:val="21"/>
                <w:highlight w:val="none"/>
                <w:lang w:val="en-US" w:eastAsia="zh-CN"/>
              </w:rPr>
              <w:t>）</w:t>
            </w:r>
            <w:r>
              <w:rPr>
                <w:rFonts w:hint="default" w:ascii="宋体" w:hAnsi="宋体" w:eastAsia="宋体" w:cs="宋体"/>
                <w:color w:val="auto"/>
                <w:kern w:val="0"/>
                <w:szCs w:val="21"/>
                <w:highlight w:val="none"/>
                <w:lang w:val="en-US" w:eastAsia="zh-CN"/>
              </w:rPr>
              <w:t>到合同约定的工程全部完成且验收合格期间的工程。验收合格证明指由建设单位（或监理）组织工程建设各方验收合格，并签署相应的单位工程质量竣工验收记录或者分部工程质量验收记录等验收文件。</w:t>
            </w:r>
          </w:p>
          <w:p w14:paraId="1954021C">
            <w:pPr>
              <w:keepNext w:val="0"/>
              <w:keepLines w:val="0"/>
              <w:pageBreakBefore w:val="0"/>
              <w:widowControl/>
              <w:shd w:val="clear" w:color="auto" w:fill="FFFFFF"/>
              <w:kinsoku/>
              <w:wordWrap/>
              <w:overflowPunct/>
              <w:topLinePunct w:val="0"/>
              <w:bidi w:val="0"/>
              <w:spacing w:line="400" w:lineRule="exact"/>
              <w:ind w:firstLine="420" w:firstLineChars="200"/>
              <w:jc w:val="left"/>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w:t>
            </w:r>
            <w:r>
              <w:rPr>
                <w:rFonts w:hint="default" w:ascii="宋体" w:hAnsi="宋体" w:eastAsia="宋体" w:cs="宋体"/>
                <w:color w:val="auto"/>
                <w:kern w:val="0"/>
                <w:szCs w:val="21"/>
                <w:highlight w:val="none"/>
                <w:lang w:val="en-US" w:eastAsia="zh-CN"/>
              </w:rPr>
              <w:t>本工程招标人不接受投标人的企业法定代表人或企业负责人担任项目负责人。</w:t>
            </w:r>
          </w:p>
          <w:p w14:paraId="487804C8">
            <w:pPr>
              <w:pStyle w:val="18"/>
              <w:rPr>
                <w:rFonts w:hint="eastAsia"/>
                <w:color w:val="auto"/>
                <w:highlight w:val="none"/>
                <w:lang w:eastAsia="zh-CN"/>
              </w:rPr>
            </w:pPr>
            <w:r>
              <w:rPr>
                <w:rFonts w:hint="default" w:ascii="宋体" w:hAnsi="宋体" w:eastAsia="宋体" w:cs="宋体"/>
                <w:color w:val="auto"/>
                <w:kern w:val="0"/>
                <w:sz w:val="21"/>
                <w:szCs w:val="21"/>
                <w:highlight w:val="none"/>
                <w:lang w:val="en-US" w:eastAsia="zh-CN" w:bidi="ar-SA"/>
              </w:rPr>
              <w:t>11</w:t>
            </w:r>
            <w:r>
              <w:rPr>
                <w:rFonts w:hint="eastAsia" w:ascii="宋体" w:hAnsi="宋体" w:eastAsia="宋体" w:cs="宋体"/>
                <w:color w:val="auto"/>
                <w:kern w:val="0"/>
                <w:sz w:val="21"/>
                <w:szCs w:val="21"/>
                <w:highlight w:val="none"/>
                <w:lang w:val="en-US" w:eastAsia="zh-CN" w:bidi="ar-SA"/>
              </w:rPr>
              <w:t>.</w:t>
            </w:r>
            <w:r>
              <w:rPr>
                <w:rFonts w:hint="default" w:ascii="宋体" w:hAnsi="宋体" w:eastAsia="宋体" w:cs="宋体"/>
                <w:color w:val="auto"/>
                <w:kern w:val="0"/>
                <w:sz w:val="21"/>
                <w:szCs w:val="21"/>
                <w:highlight w:val="none"/>
                <w:lang w:val="en-US" w:eastAsia="zh-CN" w:bidi="ar-SA"/>
              </w:rPr>
              <w:t>本工程招标人不接受企业退休人员担任项目负责人。</w:t>
            </w:r>
          </w:p>
        </w:tc>
      </w:tr>
      <w:tr w14:paraId="50B7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35" w:type="dxa"/>
            <w:vAlign w:val="center"/>
          </w:tcPr>
          <w:p w14:paraId="14C7E8CD">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1.4.2</w:t>
            </w:r>
          </w:p>
        </w:tc>
        <w:tc>
          <w:tcPr>
            <w:tcW w:w="3845" w:type="dxa"/>
            <w:vAlign w:val="center"/>
          </w:tcPr>
          <w:p w14:paraId="74CFE905">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highlight w:val="none"/>
              </w:rPr>
            </w:pPr>
            <w:r>
              <w:rPr>
                <w:rFonts w:hint="eastAsia" w:ascii="宋体" w:hAnsi="宋体" w:cs="宋体"/>
                <w:color w:val="auto"/>
                <w:kern w:val="0"/>
                <w:highlight w:val="none"/>
              </w:rPr>
              <w:t>是否接受联合体投标</w:t>
            </w:r>
          </w:p>
        </w:tc>
        <w:tc>
          <w:tcPr>
            <w:tcW w:w="4518" w:type="dxa"/>
            <w:vAlign w:val="center"/>
          </w:tcPr>
          <w:p w14:paraId="2D0EE24E">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highlight w:val="none"/>
              </w:rPr>
            </w:pPr>
            <w:r>
              <w:rPr>
                <w:rFonts w:hint="eastAsia" w:ascii="宋体" w:hAnsi="宋体" w:cs="宋体"/>
                <w:color w:val="auto"/>
                <w:kern w:val="0"/>
                <w:highlight w:val="none"/>
              </w:rPr>
              <w:t>不接受</w:t>
            </w:r>
          </w:p>
        </w:tc>
      </w:tr>
      <w:tr w14:paraId="405E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DAE81C0">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1.9.1</w:t>
            </w:r>
          </w:p>
        </w:tc>
        <w:tc>
          <w:tcPr>
            <w:tcW w:w="3845" w:type="dxa"/>
            <w:vAlign w:val="center"/>
          </w:tcPr>
          <w:p w14:paraId="60B8068F">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踏勘现场</w:t>
            </w:r>
          </w:p>
        </w:tc>
        <w:tc>
          <w:tcPr>
            <w:tcW w:w="4518" w:type="dxa"/>
          </w:tcPr>
          <w:p w14:paraId="42046E7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不组织，自行踏勘</w:t>
            </w:r>
          </w:p>
        </w:tc>
      </w:tr>
      <w:tr w14:paraId="473A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64FD3E6B">
            <w:pPr>
              <w:keepNext w:val="0"/>
              <w:keepLines w:val="0"/>
              <w:pageBreakBefore w:val="0"/>
              <w:kinsoku/>
              <w:wordWrap/>
              <w:overflowPunct/>
              <w:topLinePunct w:val="0"/>
              <w:autoSpaceDE w:val="0"/>
              <w:autoSpaceDN w:val="0"/>
              <w:bidi w:val="0"/>
              <w:adjustRightInd w:val="0"/>
              <w:spacing w:line="400" w:lineRule="exact"/>
              <w:jc w:val="center"/>
              <w:textAlignment w:val="auto"/>
              <w:rPr>
                <w:rFonts w:hint="default" w:ascii="宋体" w:hAnsi="宋体" w:eastAsia="宋体" w:cs="宋体"/>
                <w:color w:val="auto"/>
                <w:kern w:val="0"/>
                <w:sz w:val="28"/>
                <w:highlight w:val="none"/>
                <w:lang w:val="en-US" w:eastAsia="zh-CN"/>
              </w:rPr>
            </w:pPr>
            <w:r>
              <w:rPr>
                <w:rFonts w:hint="eastAsia" w:ascii="宋体" w:hAnsi="宋体" w:cs="宋体"/>
                <w:color w:val="auto"/>
                <w:kern w:val="0"/>
                <w:highlight w:val="none"/>
              </w:rPr>
              <w:t>1.1</w:t>
            </w:r>
            <w:r>
              <w:rPr>
                <w:rFonts w:hint="eastAsia" w:ascii="宋体" w:hAnsi="宋体" w:cs="宋体"/>
                <w:color w:val="auto"/>
                <w:kern w:val="0"/>
                <w:highlight w:val="none"/>
                <w:lang w:val="en-US" w:eastAsia="zh-CN"/>
              </w:rPr>
              <w:t>0.1</w:t>
            </w:r>
          </w:p>
        </w:tc>
        <w:tc>
          <w:tcPr>
            <w:tcW w:w="3845" w:type="dxa"/>
            <w:vAlign w:val="center"/>
          </w:tcPr>
          <w:p w14:paraId="41F3C543">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分包</w:t>
            </w:r>
          </w:p>
        </w:tc>
        <w:tc>
          <w:tcPr>
            <w:tcW w:w="4518" w:type="dxa"/>
          </w:tcPr>
          <w:p w14:paraId="6982649B">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szCs w:val="21"/>
                <w:highlight w:val="none"/>
                <w:lang w:eastAsia="zh-CN"/>
              </w:rPr>
              <w:sym w:font="Wingdings 2" w:char="0052"/>
            </w:r>
            <w:r>
              <w:rPr>
                <w:rFonts w:hint="eastAsia" w:ascii="宋体" w:hAnsi="宋体" w:cs="宋体"/>
                <w:color w:val="auto"/>
                <w:highlight w:val="none"/>
              </w:rPr>
              <w:t>不允许</w:t>
            </w:r>
          </w:p>
          <w:p w14:paraId="312D3342">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szCs w:val="21"/>
                <w:highlight w:val="none"/>
              </w:rPr>
              <w:t>□</w:t>
            </w:r>
            <w:r>
              <w:rPr>
                <w:rFonts w:hint="eastAsia" w:ascii="宋体" w:hAnsi="宋体" w:cs="宋体"/>
                <w:color w:val="auto"/>
                <w:highlight w:val="none"/>
              </w:rPr>
              <w:t>允许，分包内容要求：</w:t>
            </w:r>
          </w:p>
          <w:p w14:paraId="5C324E21">
            <w:pPr>
              <w:keepNext w:val="0"/>
              <w:keepLines w:val="0"/>
              <w:pageBreakBefore w:val="0"/>
              <w:kinsoku/>
              <w:wordWrap/>
              <w:overflowPunct/>
              <w:topLinePunct w:val="0"/>
              <w:bidi w:val="0"/>
              <w:spacing w:line="400" w:lineRule="exact"/>
              <w:ind w:left="0" w:leftChars="0" w:right="0" w:rightChars="0"/>
              <w:textAlignment w:val="auto"/>
              <w:rPr>
                <w:rFonts w:hint="eastAsia" w:ascii="宋体" w:hAnsi="宋体" w:cs="宋体"/>
                <w:color w:val="auto"/>
                <w:highlight w:val="none"/>
              </w:rPr>
            </w:pPr>
            <w:r>
              <w:rPr>
                <w:rFonts w:hint="eastAsia" w:ascii="宋体" w:hAnsi="宋体" w:cs="宋体"/>
                <w:color w:val="auto"/>
                <w:highlight w:val="none"/>
              </w:rPr>
              <w:t xml:space="preserve">   分包金额要求：</w:t>
            </w:r>
          </w:p>
          <w:p w14:paraId="107338CE">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highlight w:val="none"/>
              </w:rPr>
              <w:t xml:space="preserve">   接受分包的第三人资质要求：</w:t>
            </w:r>
          </w:p>
        </w:tc>
      </w:tr>
      <w:tr w14:paraId="2EA02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0815C3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1.1</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 xml:space="preserve"> </w:t>
            </w:r>
          </w:p>
        </w:tc>
        <w:tc>
          <w:tcPr>
            <w:tcW w:w="3845" w:type="dxa"/>
            <w:vAlign w:val="center"/>
          </w:tcPr>
          <w:p w14:paraId="302EC752">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偏离</w:t>
            </w:r>
          </w:p>
        </w:tc>
        <w:tc>
          <w:tcPr>
            <w:tcW w:w="4518" w:type="dxa"/>
          </w:tcPr>
          <w:p w14:paraId="12757780">
            <w:pPr>
              <w:keepNext w:val="0"/>
              <w:keepLines w:val="0"/>
              <w:pageBreakBefore w:val="0"/>
              <w:kinsoku/>
              <w:wordWrap/>
              <w:overflowPunct/>
              <w:topLinePunct w:val="0"/>
              <w:autoSpaceDE w:val="0"/>
              <w:autoSpaceDN w:val="0"/>
              <w:bidi w:val="0"/>
              <w:adjustRightInd w:val="0"/>
              <w:spacing w:line="400" w:lineRule="exact"/>
              <w:jc w:val="left"/>
              <w:textAlignment w:val="auto"/>
              <w:rPr>
                <w:rFonts w:ascii="宋体" w:hAnsi="宋体" w:cs="宋体"/>
                <w:color w:val="auto"/>
                <w:kern w:val="0"/>
                <w:highlight w:val="none"/>
              </w:rPr>
            </w:pPr>
            <w:r>
              <w:rPr>
                <w:rFonts w:hint="eastAsia" w:ascii="宋体" w:hAnsi="宋体" w:cs="宋体"/>
                <w:color w:val="auto"/>
                <w:kern w:val="0"/>
                <w:highlight w:val="none"/>
              </w:rPr>
              <w:t xml:space="preserve">不允许       </w:t>
            </w:r>
          </w:p>
        </w:tc>
      </w:tr>
      <w:tr w14:paraId="747F6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5A0613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2.2.1</w:t>
            </w:r>
          </w:p>
        </w:tc>
        <w:tc>
          <w:tcPr>
            <w:tcW w:w="3845" w:type="dxa"/>
            <w:vAlign w:val="center"/>
          </w:tcPr>
          <w:p w14:paraId="14E9A4A1">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投标人提出问题的截止时间</w:t>
            </w:r>
          </w:p>
        </w:tc>
        <w:tc>
          <w:tcPr>
            <w:tcW w:w="4518" w:type="dxa"/>
            <w:vAlign w:val="top"/>
          </w:tcPr>
          <w:p w14:paraId="6D65A9E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招标文件截止</w:t>
            </w:r>
            <w:r>
              <w:rPr>
                <w:rFonts w:hint="eastAsia" w:ascii="宋体" w:hAnsi="宋体" w:cs="宋体"/>
                <w:color w:val="auto"/>
                <w:kern w:val="0"/>
                <w:highlight w:val="none"/>
                <w:lang w:val="en-US" w:eastAsia="zh-CN"/>
              </w:rPr>
              <w:t>3</w:t>
            </w:r>
            <w:r>
              <w:rPr>
                <w:rFonts w:hint="eastAsia" w:ascii="宋体" w:hAnsi="宋体" w:cs="宋体"/>
                <w:color w:val="auto"/>
                <w:kern w:val="0"/>
                <w:highlight w:val="none"/>
              </w:rPr>
              <w:t>日内</w:t>
            </w:r>
          </w:p>
        </w:tc>
      </w:tr>
      <w:tr w14:paraId="095E5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C109E6F">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2.2.2</w:t>
            </w:r>
          </w:p>
        </w:tc>
        <w:tc>
          <w:tcPr>
            <w:tcW w:w="3845" w:type="dxa"/>
            <w:vAlign w:val="center"/>
          </w:tcPr>
          <w:p w14:paraId="5F9B706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招标人书面澄清的时间</w:t>
            </w:r>
          </w:p>
        </w:tc>
        <w:tc>
          <w:tcPr>
            <w:tcW w:w="4518" w:type="dxa"/>
            <w:vAlign w:val="top"/>
          </w:tcPr>
          <w:p w14:paraId="184D9388">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default"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lang w:val="en-US" w:eastAsia="zh-CN"/>
              </w:rPr>
              <w:t>投标截止时间3日前</w:t>
            </w:r>
          </w:p>
        </w:tc>
      </w:tr>
      <w:tr w14:paraId="3628C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39F31F7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2.2.3</w:t>
            </w:r>
          </w:p>
        </w:tc>
        <w:tc>
          <w:tcPr>
            <w:tcW w:w="3845" w:type="dxa"/>
            <w:vAlign w:val="center"/>
          </w:tcPr>
          <w:p w14:paraId="05D6B2FB">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投标人确认收到招标文件澄清的时间</w:t>
            </w:r>
          </w:p>
        </w:tc>
        <w:tc>
          <w:tcPr>
            <w:tcW w:w="4518" w:type="dxa"/>
            <w:vAlign w:val="center"/>
          </w:tcPr>
          <w:p w14:paraId="231B8008">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招标文件的补充文件发出之日2日内</w:t>
            </w:r>
          </w:p>
        </w:tc>
      </w:tr>
      <w:tr w14:paraId="25988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2C90A415">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2.3.2</w:t>
            </w:r>
          </w:p>
        </w:tc>
        <w:tc>
          <w:tcPr>
            <w:tcW w:w="3845" w:type="dxa"/>
            <w:vAlign w:val="center"/>
          </w:tcPr>
          <w:p w14:paraId="0AE6D5E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投标人确认收到招标文件修改的时间</w:t>
            </w:r>
          </w:p>
        </w:tc>
        <w:tc>
          <w:tcPr>
            <w:tcW w:w="4518" w:type="dxa"/>
            <w:vAlign w:val="center"/>
          </w:tcPr>
          <w:p w14:paraId="7B9E7768">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招标文件的补充文件发出之日2日内</w:t>
            </w:r>
          </w:p>
        </w:tc>
      </w:tr>
      <w:tr w14:paraId="1330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43DA220F">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3.1.1</w:t>
            </w:r>
          </w:p>
        </w:tc>
        <w:tc>
          <w:tcPr>
            <w:tcW w:w="3845" w:type="dxa"/>
            <w:vAlign w:val="center"/>
          </w:tcPr>
          <w:p w14:paraId="2379741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构成投标文件的</w:t>
            </w:r>
            <w:r>
              <w:rPr>
                <w:rFonts w:hint="eastAsia" w:ascii="宋体" w:hAnsi="宋体" w:cs="宋体"/>
                <w:color w:val="auto"/>
                <w:kern w:val="0"/>
                <w:highlight w:val="none"/>
                <w:lang w:val="en-US" w:eastAsia="zh-CN"/>
              </w:rPr>
              <w:t>资料</w:t>
            </w:r>
          </w:p>
        </w:tc>
        <w:tc>
          <w:tcPr>
            <w:tcW w:w="4518" w:type="dxa"/>
            <w:vAlign w:val="top"/>
          </w:tcPr>
          <w:p w14:paraId="2C5AE35B">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（1）</w:t>
            </w:r>
            <w:r>
              <w:rPr>
                <w:rFonts w:hint="eastAsia" w:ascii="宋体" w:hAnsi="宋体" w:cs="宋体"/>
                <w:color w:val="auto"/>
                <w:kern w:val="0"/>
                <w:highlight w:val="none"/>
                <w:lang w:eastAsia="zh-CN"/>
              </w:rPr>
              <w:t>投标函及投标函附录</w:t>
            </w:r>
            <w:r>
              <w:rPr>
                <w:rFonts w:hint="eastAsia" w:ascii="宋体" w:hAnsi="宋体" w:cs="宋体"/>
                <w:color w:val="auto"/>
                <w:kern w:val="0"/>
                <w:highlight w:val="none"/>
              </w:rPr>
              <w:t>；</w:t>
            </w:r>
          </w:p>
          <w:p w14:paraId="347B986A">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（2）法定代表人身份证明；</w:t>
            </w:r>
          </w:p>
          <w:p w14:paraId="5FBA427F">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（3）附有法定代表人身份证明的授权委托书及委托人身份证；</w:t>
            </w:r>
          </w:p>
          <w:p w14:paraId="1A47E86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（4）投标保证金；</w:t>
            </w:r>
          </w:p>
          <w:p w14:paraId="58693EA1">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cs="宋体"/>
                <w:color w:val="auto"/>
                <w:kern w:val="0"/>
                <w:highlight w:val="none"/>
              </w:rPr>
            </w:pPr>
            <w:r>
              <w:rPr>
                <w:rFonts w:hint="eastAsia" w:ascii="宋体" w:hAnsi="宋体" w:cs="宋体"/>
                <w:color w:val="auto"/>
                <w:kern w:val="0"/>
                <w:highlight w:val="none"/>
              </w:rPr>
              <w:t>（5）已标价工程量清单；</w:t>
            </w:r>
          </w:p>
          <w:p w14:paraId="46562005">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（6）资格审查资料</w:t>
            </w:r>
            <w:r>
              <w:rPr>
                <w:rFonts w:hint="eastAsia" w:ascii="宋体" w:hAnsi="宋体" w:cs="宋体"/>
                <w:color w:val="auto"/>
                <w:kern w:val="0"/>
                <w:highlight w:val="none"/>
                <w:lang w:eastAsia="zh-CN"/>
              </w:rPr>
              <w:t>。</w:t>
            </w:r>
          </w:p>
        </w:tc>
      </w:tr>
      <w:tr w14:paraId="7A5F7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3D85662">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3.3.1</w:t>
            </w:r>
          </w:p>
        </w:tc>
        <w:tc>
          <w:tcPr>
            <w:tcW w:w="3845" w:type="dxa"/>
            <w:vAlign w:val="center"/>
          </w:tcPr>
          <w:p w14:paraId="3FC571F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投标有效期</w:t>
            </w:r>
          </w:p>
        </w:tc>
        <w:tc>
          <w:tcPr>
            <w:tcW w:w="4518" w:type="dxa"/>
            <w:vAlign w:val="top"/>
          </w:tcPr>
          <w:p w14:paraId="300EE75E">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60日历天（从投标截止之日算起）</w:t>
            </w:r>
          </w:p>
        </w:tc>
      </w:tr>
      <w:tr w14:paraId="6F489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068BA5D8">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3.4.1</w:t>
            </w:r>
          </w:p>
        </w:tc>
        <w:tc>
          <w:tcPr>
            <w:tcW w:w="3845" w:type="dxa"/>
            <w:vAlign w:val="center"/>
          </w:tcPr>
          <w:p w14:paraId="5AAE544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投标保证金</w:t>
            </w:r>
          </w:p>
        </w:tc>
        <w:tc>
          <w:tcPr>
            <w:tcW w:w="4518" w:type="dxa"/>
            <w:vAlign w:val="top"/>
          </w:tcPr>
          <w:p w14:paraId="3807B4CC">
            <w:pPr>
              <w:pStyle w:val="8"/>
              <w:keepNext w:val="0"/>
              <w:keepLines w:val="0"/>
              <w:pageBreakBefore w:val="0"/>
              <w:kinsoku/>
              <w:wordWrap/>
              <w:overflowPunct/>
              <w:topLinePunct w:val="0"/>
              <w:bidi w:val="0"/>
              <w:spacing w:line="400" w:lineRule="exact"/>
              <w:ind w:left="0" w:leftChars="0" w:right="0" w:rightChars="0"/>
              <w:textAlignment w:val="auto"/>
              <w:rPr>
                <w:rFonts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kern w:val="0"/>
                <w:sz w:val="21"/>
                <w:szCs w:val="22"/>
                <w:highlight w:val="none"/>
                <w:lang w:val="en-US" w:eastAsia="zh-CN" w:bidi="ar-SA"/>
              </w:rPr>
              <w:t>详见投标须知3.4条</w:t>
            </w:r>
          </w:p>
        </w:tc>
      </w:tr>
      <w:tr w14:paraId="64F33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35" w:type="dxa"/>
            <w:vAlign w:val="center"/>
          </w:tcPr>
          <w:p w14:paraId="0E05392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bookmarkStart w:id="25" w:name="OLE_LINK17" w:colFirst="1" w:colLast="2"/>
            <w:r>
              <w:rPr>
                <w:rFonts w:hint="eastAsia" w:ascii="宋体" w:hAnsi="宋体" w:cs="宋体"/>
                <w:color w:val="auto"/>
                <w:kern w:val="0"/>
                <w:highlight w:val="none"/>
              </w:rPr>
              <w:t>3.</w:t>
            </w:r>
            <w:r>
              <w:rPr>
                <w:rFonts w:hint="eastAsia" w:ascii="宋体" w:hAnsi="宋体" w:cs="宋体"/>
                <w:color w:val="auto"/>
                <w:kern w:val="0"/>
                <w:highlight w:val="none"/>
                <w:lang w:val="en-US" w:eastAsia="zh-CN"/>
              </w:rPr>
              <w:t>6</w:t>
            </w:r>
            <w:r>
              <w:rPr>
                <w:rFonts w:hint="eastAsia" w:ascii="宋体" w:hAnsi="宋体" w:cs="宋体"/>
                <w:color w:val="auto"/>
                <w:kern w:val="0"/>
                <w:highlight w:val="none"/>
              </w:rPr>
              <w:t>.3</w:t>
            </w:r>
          </w:p>
        </w:tc>
        <w:tc>
          <w:tcPr>
            <w:tcW w:w="3845" w:type="dxa"/>
            <w:vAlign w:val="center"/>
          </w:tcPr>
          <w:p w14:paraId="0FD69061">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签字或盖章要求</w:t>
            </w:r>
          </w:p>
        </w:tc>
        <w:tc>
          <w:tcPr>
            <w:tcW w:w="4518" w:type="dxa"/>
            <w:vAlign w:val="center"/>
          </w:tcPr>
          <w:p w14:paraId="1F1FFE09">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投标文件封面、</w:t>
            </w:r>
            <w:r>
              <w:rPr>
                <w:rFonts w:hint="eastAsia" w:ascii="宋体" w:hAnsi="宋体" w:cs="宋体"/>
                <w:color w:val="auto"/>
                <w:kern w:val="0"/>
                <w:highlight w:val="none"/>
                <w:lang w:eastAsia="zh-CN"/>
              </w:rPr>
              <w:t>投标函及投标函附录</w:t>
            </w:r>
            <w:r>
              <w:rPr>
                <w:rFonts w:hint="eastAsia" w:ascii="宋体" w:hAnsi="宋体" w:cs="宋体"/>
                <w:color w:val="auto"/>
                <w:kern w:val="0"/>
                <w:highlight w:val="none"/>
              </w:rPr>
              <w:t>均应加盖投标人单位公章并经法定代表人或其委托代理人签字或盖章</w:t>
            </w:r>
          </w:p>
        </w:tc>
      </w:tr>
      <w:bookmarkEnd w:id="25"/>
      <w:tr w14:paraId="09C55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935" w:type="dxa"/>
            <w:vAlign w:val="center"/>
          </w:tcPr>
          <w:p w14:paraId="7B33787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bookmarkStart w:id="26" w:name="OLE_LINK15" w:colFirst="2" w:colLast="2"/>
            <w:r>
              <w:rPr>
                <w:rFonts w:hint="eastAsia" w:ascii="宋体" w:hAnsi="宋体" w:cs="宋体"/>
                <w:color w:val="auto"/>
                <w:kern w:val="0"/>
                <w:highlight w:val="none"/>
              </w:rPr>
              <w:t>3.</w:t>
            </w:r>
            <w:r>
              <w:rPr>
                <w:rFonts w:hint="eastAsia" w:ascii="宋体" w:hAnsi="宋体" w:cs="宋体"/>
                <w:color w:val="auto"/>
                <w:kern w:val="0"/>
                <w:highlight w:val="none"/>
                <w:lang w:val="en-US" w:eastAsia="zh-CN"/>
              </w:rPr>
              <w:t>6</w:t>
            </w:r>
            <w:r>
              <w:rPr>
                <w:rFonts w:hint="eastAsia" w:ascii="宋体" w:hAnsi="宋体" w:cs="宋体"/>
                <w:color w:val="auto"/>
                <w:kern w:val="0"/>
                <w:highlight w:val="none"/>
              </w:rPr>
              <w:t>.4</w:t>
            </w:r>
          </w:p>
        </w:tc>
        <w:tc>
          <w:tcPr>
            <w:tcW w:w="3845" w:type="dxa"/>
            <w:vAlign w:val="center"/>
          </w:tcPr>
          <w:p w14:paraId="2D8791C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投标文件份数</w:t>
            </w:r>
          </w:p>
        </w:tc>
        <w:tc>
          <w:tcPr>
            <w:tcW w:w="4518" w:type="dxa"/>
            <w:vAlign w:val="top"/>
          </w:tcPr>
          <w:p w14:paraId="0E4C295B">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8"/>
                <w:szCs w:val="22"/>
                <w:highlight w:val="none"/>
                <w:lang w:val="en-US" w:eastAsia="zh-CN" w:bidi="ar-SA"/>
              </w:rPr>
            </w:pPr>
            <w:r>
              <w:rPr>
                <w:rFonts w:hint="eastAsia" w:ascii="宋体" w:hAnsi="宋体" w:cs="宋体"/>
                <w:b/>
                <w:bCs/>
                <w:color w:val="auto"/>
                <w:kern w:val="0"/>
                <w:highlight w:val="none"/>
                <w:lang w:val="en-US" w:eastAsia="zh-CN"/>
              </w:rPr>
              <w:t>中标人</w:t>
            </w:r>
            <w:r>
              <w:rPr>
                <w:rFonts w:hint="eastAsia" w:ascii="宋体" w:hAnsi="宋体" w:cs="宋体"/>
                <w:b/>
                <w:bCs/>
                <w:color w:val="auto"/>
                <w:kern w:val="0"/>
                <w:highlight w:val="none"/>
                <w:lang w:eastAsia="zh-CN"/>
              </w:rPr>
              <w:t>在领取</w:t>
            </w:r>
            <w:r>
              <w:rPr>
                <w:rFonts w:hint="eastAsia" w:ascii="宋体" w:hAnsi="宋体" w:cs="宋体"/>
                <w:b/>
                <w:bCs/>
                <w:color w:val="auto"/>
                <w:kern w:val="0"/>
                <w:highlight w:val="none"/>
                <w:lang w:val="en-US" w:eastAsia="zh-CN"/>
              </w:rPr>
              <w:t>中标通</w:t>
            </w:r>
            <w:r>
              <w:rPr>
                <w:rFonts w:hint="eastAsia" w:ascii="宋体" w:hAnsi="宋体" w:cs="宋体"/>
                <w:b/>
                <w:bCs/>
                <w:color w:val="auto"/>
                <w:kern w:val="0"/>
                <w:highlight w:val="none"/>
                <w:lang w:eastAsia="zh-CN"/>
              </w:rPr>
              <w:t>知书时，须打印纸质</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文件正本1份、副本4份送至</w:t>
            </w:r>
            <w:r>
              <w:rPr>
                <w:rFonts w:hint="eastAsia" w:ascii="宋体" w:hAnsi="宋体" w:cs="宋体"/>
                <w:b/>
                <w:bCs/>
                <w:color w:val="auto"/>
                <w:kern w:val="0"/>
                <w:highlight w:val="none"/>
                <w:lang w:val="en-US" w:eastAsia="zh-CN"/>
              </w:rPr>
              <w:t>招标</w:t>
            </w:r>
            <w:r>
              <w:rPr>
                <w:rFonts w:hint="eastAsia" w:ascii="宋体" w:hAnsi="宋体" w:cs="宋体"/>
                <w:b/>
                <w:bCs/>
                <w:color w:val="auto"/>
                <w:kern w:val="0"/>
                <w:highlight w:val="none"/>
                <w:lang w:eastAsia="zh-CN"/>
              </w:rPr>
              <w:t>代理机构。提供的</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文件须与</w:t>
            </w:r>
            <w:r>
              <w:rPr>
                <w:rFonts w:hint="eastAsia" w:ascii="宋体" w:hAnsi="宋体" w:cs="宋体"/>
                <w:b/>
                <w:bCs/>
                <w:color w:val="auto"/>
                <w:kern w:val="0"/>
                <w:highlight w:val="none"/>
                <w:lang w:val="en-US" w:eastAsia="zh-CN"/>
              </w:rPr>
              <w:t>中标人</w:t>
            </w:r>
            <w:r>
              <w:rPr>
                <w:rFonts w:hint="eastAsia" w:ascii="宋体" w:hAnsi="宋体" w:cs="宋体"/>
                <w:b/>
                <w:bCs/>
                <w:color w:val="auto"/>
                <w:kern w:val="0"/>
                <w:highlight w:val="none"/>
                <w:lang w:eastAsia="zh-CN"/>
              </w:rPr>
              <w:t>提交的</w:t>
            </w:r>
            <w:r>
              <w:rPr>
                <w:rFonts w:hint="eastAsia" w:ascii="宋体" w:hAnsi="宋体" w:cs="宋体"/>
                <w:b/>
                <w:bCs/>
                <w:color w:val="auto"/>
                <w:kern w:val="0"/>
                <w:highlight w:val="none"/>
                <w:lang w:val="en-US" w:eastAsia="zh-CN"/>
              </w:rPr>
              <w:t>投标</w:t>
            </w:r>
            <w:r>
              <w:rPr>
                <w:rFonts w:hint="eastAsia" w:ascii="宋体" w:hAnsi="宋体" w:cs="宋体"/>
                <w:b/>
                <w:bCs/>
                <w:color w:val="auto"/>
                <w:kern w:val="0"/>
                <w:highlight w:val="none"/>
                <w:lang w:eastAsia="zh-CN"/>
              </w:rPr>
              <w:t>文件PDF文档一致。</w:t>
            </w:r>
          </w:p>
        </w:tc>
      </w:tr>
      <w:tr w14:paraId="77537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35" w:type="dxa"/>
            <w:vAlign w:val="center"/>
          </w:tcPr>
          <w:p w14:paraId="676701E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3.</w:t>
            </w:r>
            <w:r>
              <w:rPr>
                <w:rFonts w:hint="eastAsia" w:ascii="宋体" w:hAnsi="宋体" w:cs="宋体"/>
                <w:color w:val="auto"/>
                <w:kern w:val="0"/>
                <w:highlight w:val="none"/>
                <w:lang w:val="en-US" w:eastAsia="zh-CN"/>
              </w:rPr>
              <w:t>7</w:t>
            </w:r>
          </w:p>
        </w:tc>
        <w:tc>
          <w:tcPr>
            <w:tcW w:w="3845" w:type="dxa"/>
            <w:vAlign w:val="center"/>
          </w:tcPr>
          <w:p w14:paraId="5FFB2EE2">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是否允许递交备选投标方案</w:t>
            </w:r>
          </w:p>
        </w:tc>
        <w:tc>
          <w:tcPr>
            <w:tcW w:w="4518" w:type="dxa"/>
            <w:vAlign w:val="top"/>
          </w:tcPr>
          <w:p w14:paraId="34C31BE7">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否</w:t>
            </w:r>
          </w:p>
        </w:tc>
      </w:tr>
      <w:tr w14:paraId="7A893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935" w:type="dxa"/>
            <w:vAlign w:val="center"/>
          </w:tcPr>
          <w:p w14:paraId="7DDEF59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bookmarkStart w:id="27" w:name="OLE_LINK16" w:colFirst="1" w:colLast="2"/>
            <w:r>
              <w:rPr>
                <w:rFonts w:hint="eastAsia" w:ascii="宋体" w:hAnsi="宋体" w:cs="宋体"/>
                <w:color w:val="auto"/>
                <w:kern w:val="0"/>
                <w:highlight w:val="none"/>
                <w:lang w:val="en-US" w:eastAsia="zh-CN"/>
              </w:rPr>
              <w:t>4.1.1</w:t>
            </w:r>
          </w:p>
        </w:tc>
        <w:tc>
          <w:tcPr>
            <w:tcW w:w="3845" w:type="dxa"/>
            <w:vAlign w:val="center"/>
          </w:tcPr>
          <w:p w14:paraId="0C89026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lang w:val="en-US" w:eastAsia="zh-CN"/>
              </w:rPr>
              <w:t>投标截止时间</w:t>
            </w:r>
          </w:p>
        </w:tc>
        <w:tc>
          <w:tcPr>
            <w:tcW w:w="4518" w:type="dxa"/>
            <w:vAlign w:val="top"/>
          </w:tcPr>
          <w:p w14:paraId="72904DFE">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cs="宋体"/>
                <w:b/>
                <w:bCs/>
                <w:color w:val="auto"/>
                <w:kern w:val="0"/>
                <w:sz w:val="21"/>
                <w:szCs w:val="21"/>
                <w:highlight w:val="none"/>
              </w:rPr>
              <w:t>20</w:t>
            </w:r>
            <w:r>
              <w:rPr>
                <w:rFonts w:hint="eastAsia" w:ascii="宋体" w:hAnsi="宋体" w:cs="宋体"/>
                <w:b/>
                <w:bCs/>
                <w:color w:val="auto"/>
                <w:kern w:val="0"/>
                <w:sz w:val="21"/>
                <w:szCs w:val="21"/>
                <w:highlight w:val="none"/>
                <w:lang w:val="en-US" w:eastAsia="zh-CN"/>
              </w:rPr>
              <w:t>24</w:t>
            </w:r>
            <w:r>
              <w:rPr>
                <w:rFonts w:hint="eastAsia" w:ascii="宋体" w:hAnsi="宋体" w:cs="宋体"/>
                <w:b/>
                <w:bCs/>
                <w:color w:val="auto"/>
                <w:kern w:val="0"/>
                <w:sz w:val="21"/>
                <w:szCs w:val="21"/>
                <w:highlight w:val="none"/>
              </w:rPr>
              <w:t>年</w:t>
            </w:r>
            <w:r>
              <w:rPr>
                <w:rFonts w:hint="eastAsia" w:ascii="宋体" w:hAnsi="宋体" w:cs="宋体"/>
                <w:b/>
                <w:bCs/>
                <w:color w:val="auto"/>
                <w:kern w:val="0"/>
                <w:sz w:val="21"/>
                <w:szCs w:val="21"/>
                <w:highlight w:val="none"/>
                <w:lang w:val="en-US" w:eastAsia="zh-CN"/>
              </w:rPr>
              <w:t>11</w:t>
            </w:r>
            <w:r>
              <w:rPr>
                <w:rFonts w:hint="eastAsia" w:ascii="宋体" w:hAnsi="宋体" w:cs="宋体"/>
                <w:b/>
                <w:bCs/>
                <w:color w:val="auto"/>
                <w:kern w:val="0"/>
                <w:sz w:val="21"/>
                <w:szCs w:val="21"/>
                <w:highlight w:val="none"/>
              </w:rPr>
              <w:t>月</w:t>
            </w:r>
            <w:r>
              <w:rPr>
                <w:rFonts w:hint="eastAsia" w:ascii="宋体" w:hAnsi="宋体" w:cs="宋体"/>
                <w:b/>
                <w:bCs/>
                <w:color w:val="auto"/>
                <w:kern w:val="0"/>
                <w:sz w:val="21"/>
                <w:szCs w:val="21"/>
                <w:highlight w:val="none"/>
                <w:lang w:val="en-US" w:eastAsia="zh-CN"/>
              </w:rPr>
              <w:t>21</w:t>
            </w:r>
            <w:r>
              <w:rPr>
                <w:rFonts w:hint="eastAsia" w:ascii="宋体" w:hAnsi="宋体" w:cs="宋体"/>
                <w:b/>
                <w:bCs/>
                <w:color w:val="auto"/>
                <w:kern w:val="0"/>
                <w:sz w:val="21"/>
                <w:szCs w:val="21"/>
                <w:highlight w:val="none"/>
              </w:rPr>
              <w:t>日</w:t>
            </w:r>
            <w:r>
              <w:rPr>
                <w:rFonts w:hint="eastAsia" w:ascii="宋体" w:hAnsi="宋体" w:cs="宋体"/>
                <w:b/>
                <w:bCs/>
                <w:color w:val="auto"/>
                <w:kern w:val="0"/>
                <w:sz w:val="21"/>
                <w:szCs w:val="21"/>
                <w:highlight w:val="none"/>
                <w:lang w:val="en-US" w:eastAsia="zh-CN"/>
              </w:rPr>
              <w:t xml:space="preserve">15 </w:t>
            </w:r>
            <w:r>
              <w:rPr>
                <w:rFonts w:hint="eastAsia" w:ascii="宋体" w:hAnsi="宋体" w:cs="宋体"/>
                <w:b/>
                <w:bCs/>
                <w:color w:val="auto"/>
                <w:kern w:val="0"/>
                <w:sz w:val="21"/>
                <w:szCs w:val="21"/>
                <w:highlight w:val="none"/>
              </w:rPr>
              <w:t>时</w:t>
            </w:r>
            <w:r>
              <w:rPr>
                <w:rFonts w:hint="eastAsia" w:ascii="宋体" w:hAnsi="宋体" w:cs="宋体"/>
                <w:b/>
                <w:bCs/>
                <w:color w:val="auto"/>
                <w:kern w:val="0"/>
                <w:sz w:val="21"/>
                <w:szCs w:val="21"/>
                <w:highlight w:val="none"/>
                <w:lang w:val="en-US" w:eastAsia="zh-CN"/>
              </w:rPr>
              <w:t>30</w:t>
            </w:r>
            <w:r>
              <w:rPr>
                <w:rFonts w:hint="eastAsia" w:ascii="宋体" w:hAnsi="宋体" w:cs="宋体"/>
                <w:b/>
                <w:bCs/>
                <w:color w:val="auto"/>
                <w:kern w:val="0"/>
                <w:sz w:val="21"/>
                <w:szCs w:val="21"/>
                <w:highlight w:val="none"/>
              </w:rPr>
              <w:t>分</w:t>
            </w:r>
          </w:p>
        </w:tc>
      </w:tr>
      <w:bookmarkEnd w:id="26"/>
      <w:bookmarkEnd w:id="27"/>
      <w:tr w14:paraId="0664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35" w:type="dxa"/>
            <w:vAlign w:val="center"/>
          </w:tcPr>
          <w:p w14:paraId="38B8DD33">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.2</w:t>
            </w:r>
          </w:p>
        </w:tc>
        <w:tc>
          <w:tcPr>
            <w:tcW w:w="3845" w:type="dxa"/>
            <w:vAlign w:val="center"/>
          </w:tcPr>
          <w:p w14:paraId="0408EFF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递交投标文件地点</w:t>
            </w:r>
          </w:p>
        </w:tc>
        <w:tc>
          <w:tcPr>
            <w:tcW w:w="4518" w:type="dxa"/>
            <w:vAlign w:val="top"/>
          </w:tcPr>
          <w:p w14:paraId="4A21667E">
            <w:pPr>
              <w:pStyle w:val="21"/>
              <w:keepNext w:val="0"/>
              <w:keepLines w:val="0"/>
              <w:pageBreakBefore w:val="0"/>
              <w:widowControl/>
              <w:kinsoku/>
              <w:wordWrap/>
              <w:overflowPunct/>
              <w:topLinePunct w:val="0"/>
              <w:autoSpaceDE/>
              <w:autoSpaceDN/>
              <w:bidi w:val="0"/>
              <w:adjustRightInd/>
              <w:snapToGrid w:val="0"/>
              <w:spacing w:before="0" w:beforeAutospacing="0" w:after="0" w:afterAutospacing="0" w:line="400" w:lineRule="exact"/>
              <w:ind w:right="0" w:rightChars="0"/>
              <w:jc w:val="both"/>
              <w:textAlignment w:val="auto"/>
              <w:rPr>
                <w:rFonts w:hint="eastAsia" w:ascii="宋体" w:hAnsi="宋体" w:eastAsia="宋体" w:cs="宋体"/>
                <w:color w:val="auto"/>
                <w:kern w:val="0"/>
                <w:sz w:val="24"/>
                <w:szCs w:val="24"/>
                <w:highlight w:val="none"/>
                <w:lang w:val="en-US" w:eastAsia="zh-CN" w:bidi="ar-SA"/>
              </w:rPr>
            </w:pPr>
            <w:r>
              <w:rPr>
                <w:rFonts w:hint="eastAsia"/>
                <w:color w:val="auto"/>
                <w:sz w:val="21"/>
                <w:szCs w:val="21"/>
                <w:highlight w:val="none"/>
                <w:lang w:val="en-US" w:eastAsia="zh-CN"/>
              </w:rPr>
              <w:t>上传加密的投标文件至招标人指定邮箱：ychj5588@163.com。</w:t>
            </w:r>
          </w:p>
        </w:tc>
      </w:tr>
      <w:tr w14:paraId="48697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935" w:type="dxa"/>
            <w:vAlign w:val="center"/>
          </w:tcPr>
          <w:p w14:paraId="510A2B60">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.3</w:t>
            </w:r>
          </w:p>
        </w:tc>
        <w:tc>
          <w:tcPr>
            <w:tcW w:w="3845" w:type="dxa"/>
            <w:vAlign w:val="center"/>
          </w:tcPr>
          <w:p w14:paraId="515B4277">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是否退还投标文件</w:t>
            </w:r>
          </w:p>
        </w:tc>
        <w:tc>
          <w:tcPr>
            <w:tcW w:w="4518" w:type="dxa"/>
            <w:vAlign w:val="top"/>
          </w:tcPr>
          <w:p w14:paraId="2E99E368">
            <w:pPr>
              <w:keepNext w:val="0"/>
              <w:keepLines w:val="0"/>
              <w:pageBreakBefore w:val="0"/>
              <w:kinsoku/>
              <w:wordWrap/>
              <w:overflowPunct/>
              <w:topLinePunct w:val="0"/>
              <w:autoSpaceDE w:val="0"/>
              <w:autoSpaceDN w:val="0"/>
              <w:bidi w:val="0"/>
              <w:adjustRightInd w:val="0"/>
              <w:spacing w:line="400" w:lineRule="exact"/>
              <w:ind w:left="0" w:leftChars="0" w:right="0" w:rightChars="0"/>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否</w:t>
            </w:r>
          </w:p>
        </w:tc>
      </w:tr>
      <w:tr w14:paraId="626A0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935" w:type="dxa"/>
            <w:vAlign w:val="center"/>
          </w:tcPr>
          <w:p w14:paraId="7D58006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8"/>
                <w:szCs w:val="22"/>
                <w:highlight w:val="none"/>
                <w:lang w:val="en-US" w:eastAsia="zh-CN" w:bidi="ar-SA"/>
              </w:rPr>
            </w:pPr>
            <w:r>
              <w:rPr>
                <w:rFonts w:hint="eastAsia" w:ascii="宋体" w:hAnsi="宋体" w:cs="宋体"/>
                <w:color w:val="auto"/>
                <w:kern w:val="0"/>
                <w:highlight w:val="none"/>
              </w:rPr>
              <w:t>5.1</w:t>
            </w:r>
          </w:p>
        </w:tc>
        <w:tc>
          <w:tcPr>
            <w:tcW w:w="3845" w:type="dxa"/>
            <w:vAlign w:val="center"/>
          </w:tcPr>
          <w:p w14:paraId="3868167E">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rPr>
              <w:t>开标时间和地点</w:t>
            </w:r>
          </w:p>
        </w:tc>
        <w:tc>
          <w:tcPr>
            <w:tcW w:w="4518" w:type="dxa"/>
            <w:vAlign w:val="top"/>
          </w:tcPr>
          <w:p w14:paraId="6E33B557">
            <w:pPr>
              <w:keepNext w:val="0"/>
              <w:keepLines w:val="0"/>
              <w:pageBreakBefore w:val="0"/>
              <w:kinsoku/>
              <w:wordWrap/>
              <w:overflowPunct/>
              <w:topLinePunct w:val="0"/>
              <w:autoSpaceDE w:val="0"/>
              <w:autoSpaceDN w:val="0"/>
              <w:bidi w:val="0"/>
              <w:adjustRightInd w:val="0"/>
              <w:spacing w:line="400" w:lineRule="exact"/>
              <w:ind w:left="0" w:leftChars="0" w:right="0" w:rightChars="0"/>
              <w:textAlignment w:val="auto"/>
              <w:rPr>
                <w:rFonts w:hint="eastAsia" w:ascii="宋体" w:hAnsi="宋体" w:eastAsia="宋体" w:cs="宋体"/>
                <w:b/>
                <w:bCs/>
                <w:color w:val="auto"/>
                <w:kern w:val="0"/>
                <w:sz w:val="21"/>
                <w:szCs w:val="21"/>
                <w:highlight w:val="none"/>
              </w:rPr>
            </w:pPr>
            <w:r>
              <w:rPr>
                <w:rFonts w:hint="eastAsia" w:ascii="宋体" w:hAnsi="宋体" w:cs="宋体"/>
                <w:b/>
                <w:bCs/>
                <w:color w:val="auto"/>
                <w:kern w:val="0"/>
                <w:sz w:val="21"/>
                <w:szCs w:val="21"/>
                <w:highlight w:val="none"/>
              </w:rPr>
              <w:t>开标时间</w:t>
            </w:r>
            <w:r>
              <w:rPr>
                <w:rFonts w:hint="eastAsia" w:ascii="宋体" w:hAnsi="宋体" w:eastAsia="宋体" w:cs="宋体"/>
                <w:b/>
                <w:bCs/>
                <w:color w:val="auto"/>
                <w:kern w:val="0"/>
                <w:sz w:val="21"/>
                <w:szCs w:val="21"/>
                <w:highlight w:val="none"/>
              </w:rPr>
              <w:t>：</w:t>
            </w:r>
            <w:r>
              <w:rPr>
                <w:rFonts w:hint="eastAsia" w:ascii="宋体" w:hAnsi="宋体" w:cs="宋体"/>
                <w:b/>
                <w:bCs/>
                <w:color w:val="auto"/>
                <w:kern w:val="0"/>
                <w:sz w:val="21"/>
                <w:szCs w:val="21"/>
                <w:highlight w:val="none"/>
              </w:rPr>
              <w:t>20</w:t>
            </w:r>
            <w:r>
              <w:rPr>
                <w:rFonts w:hint="eastAsia" w:ascii="宋体" w:hAnsi="宋体" w:cs="宋体"/>
                <w:b/>
                <w:bCs/>
                <w:color w:val="auto"/>
                <w:kern w:val="0"/>
                <w:sz w:val="21"/>
                <w:szCs w:val="21"/>
                <w:highlight w:val="none"/>
                <w:lang w:val="en-US" w:eastAsia="zh-CN"/>
              </w:rPr>
              <w:t>24</w:t>
            </w:r>
            <w:r>
              <w:rPr>
                <w:rFonts w:hint="eastAsia" w:ascii="宋体" w:hAnsi="宋体" w:cs="宋体"/>
                <w:b/>
                <w:bCs/>
                <w:color w:val="auto"/>
                <w:kern w:val="0"/>
                <w:sz w:val="21"/>
                <w:szCs w:val="21"/>
                <w:highlight w:val="none"/>
              </w:rPr>
              <w:t>年</w:t>
            </w:r>
            <w:r>
              <w:rPr>
                <w:rFonts w:hint="eastAsia" w:ascii="宋体" w:hAnsi="宋体" w:cs="宋体"/>
                <w:b/>
                <w:bCs/>
                <w:color w:val="auto"/>
                <w:kern w:val="0"/>
                <w:sz w:val="21"/>
                <w:szCs w:val="21"/>
                <w:highlight w:val="none"/>
                <w:lang w:val="en-US" w:eastAsia="zh-CN"/>
              </w:rPr>
              <w:t>11</w:t>
            </w:r>
            <w:r>
              <w:rPr>
                <w:rFonts w:hint="eastAsia" w:ascii="宋体" w:hAnsi="宋体" w:cs="宋体"/>
                <w:b/>
                <w:bCs/>
                <w:color w:val="auto"/>
                <w:kern w:val="0"/>
                <w:sz w:val="21"/>
                <w:szCs w:val="21"/>
                <w:highlight w:val="none"/>
              </w:rPr>
              <w:t>月</w:t>
            </w:r>
            <w:r>
              <w:rPr>
                <w:rFonts w:hint="eastAsia" w:ascii="宋体" w:hAnsi="宋体" w:cs="宋体"/>
                <w:b/>
                <w:bCs/>
                <w:color w:val="auto"/>
                <w:kern w:val="0"/>
                <w:sz w:val="21"/>
                <w:szCs w:val="21"/>
                <w:highlight w:val="none"/>
                <w:lang w:val="en-US" w:eastAsia="zh-CN"/>
              </w:rPr>
              <w:t>21</w:t>
            </w:r>
            <w:r>
              <w:rPr>
                <w:rFonts w:hint="eastAsia" w:ascii="宋体" w:hAnsi="宋体" w:cs="宋体"/>
                <w:b/>
                <w:bCs/>
                <w:color w:val="auto"/>
                <w:kern w:val="0"/>
                <w:sz w:val="21"/>
                <w:szCs w:val="21"/>
                <w:highlight w:val="none"/>
              </w:rPr>
              <w:t>日</w:t>
            </w:r>
            <w:r>
              <w:rPr>
                <w:rFonts w:hint="eastAsia" w:ascii="宋体" w:hAnsi="宋体" w:cs="宋体"/>
                <w:b/>
                <w:bCs/>
                <w:color w:val="auto"/>
                <w:kern w:val="0"/>
                <w:sz w:val="21"/>
                <w:szCs w:val="21"/>
                <w:highlight w:val="none"/>
                <w:lang w:val="en-US" w:eastAsia="zh-CN"/>
              </w:rPr>
              <w:t xml:space="preserve">15 </w:t>
            </w:r>
            <w:r>
              <w:rPr>
                <w:rFonts w:hint="eastAsia" w:ascii="宋体" w:hAnsi="宋体" w:cs="宋体"/>
                <w:b/>
                <w:bCs/>
                <w:color w:val="auto"/>
                <w:kern w:val="0"/>
                <w:sz w:val="21"/>
                <w:szCs w:val="21"/>
                <w:highlight w:val="none"/>
              </w:rPr>
              <w:t>时</w:t>
            </w:r>
            <w:r>
              <w:rPr>
                <w:rFonts w:hint="eastAsia" w:ascii="宋体" w:hAnsi="宋体" w:cs="宋体"/>
                <w:b/>
                <w:bCs/>
                <w:color w:val="auto"/>
                <w:kern w:val="0"/>
                <w:sz w:val="21"/>
                <w:szCs w:val="21"/>
                <w:highlight w:val="none"/>
                <w:lang w:val="en-US" w:eastAsia="zh-CN"/>
              </w:rPr>
              <w:t>30</w:t>
            </w:r>
            <w:r>
              <w:rPr>
                <w:rFonts w:hint="eastAsia" w:ascii="宋体" w:hAnsi="宋体" w:cs="宋体"/>
                <w:b/>
                <w:bCs/>
                <w:color w:val="auto"/>
                <w:kern w:val="0"/>
                <w:sz w:val="21"/>
                <w:szCs w:val="21"/>
                <w:highlight w:val="none"/>
              </w:rPr>
              <w:t>分</w:t>
            </w:r>
          </w:p>
          <w:p w14:paraId="6A63CDDB">
            <w:pPr>
              <w:pStyle w:val="21"/>
              <w:keepNext w:val="0"/>
              <w:keepLines w:val="0"/>
              <w:pageBreakBefore w:val="0"/>
              <w:widowControl/>
              <w:kinsoku/>
              <w:wordWrap/>
              <w:overflowPunct/>
              <w:topLinePunct w:val="0"/>
              <w:autoSpaceDE/>
              <w:autoSpaceDN/>
              <w:bidi w:val="0"/>
              <w:adjustRightInd/>
              <w:snapToGrid w:val="0"/>
              <w:spacing w:before="0" w:beforeAutospacing="0" w:after="0" w:afterAutospacing="0" w:line="400" w:lineRule="exact"/>
              <w:ind w:right="0" w:rightChars="0"/>
              <w:jc w:val="both"/>
              <w:textAlignment w:val="auto"/>
              <w:rPr>
                <w:rFonts w:ascii="宋体" w:hAnsi="宋体" w:eastAsia="宋体" w:cs="宋体"/>
                <w:color w:val="auto"/>
                <w:kern w:val="0"/>
                <w:sz w:val="24"/>
                <w:szCs w:val="24"/>
                <w:highlight w:val="none"/>
                <w:lang w:val="en-US" w:eastAsia="zh-CN" w:bidi="ar-SA"/>
              </w:rPr>
            </w:pPr>
            <w:r>
              <w:rPr>
                <w:rFonts w:hint="eastAsia" w:ascii="宋体" w:hAnsi="宋体" w:cs="宋体"/>
                <w:color w:val="auto"/>
                <w:kern w:val="0"/>
                <w:sz w:val="21"/>
                <w:szCs w:val="21"/>
                <w:highlight w:val="none"/>
              </w:rPr>
              <w:t>开标地点：</w:t>
            </w:r>
            <w:r>
              <w:rPr>
                <w:rFonts w:hint="eastAsia"/>
                <w:b/>
                <w:bCs/>
                <w:color w:val="auto"/>
                <w:sz w:val="21"/>
                <w:szCs w:val="21"/>
                <w:highlight w:val="none"/>
                <w:lang w:val="en-US" w:eastAsia="zh-CN"/>
              </w:rPr>
              <w:t>网上开标，腾讯会议号：</w:t>
            </w:r>
            <w:r>
              <w:rPr>
                <w:rFonts w:hint="eastAsia"/>
                <w:b/>
                <w:bCs/>
                <w:color w:val="auto"/>
                <w:sz w:val="21"/>
                <w:szCs w:val="21"/>
                <w:highlight w:val="none"/>
                <w:u w:val="single"/>
                <w:lang w:val="en-US" w:eastAsia="zh-CN"/>
              </w:rPr>
              <w:t xml:space="preserve"> 867-439-703 </w:t>
            </w:r>
            <w:r>
              <w:rPr>
                <w:rFonts w:hint="eastAsia"/>
                <w:b/>
                <w:bCs/>
                <w:color w:val="auto"/>
                <w:sz w:val="21"/>
                <w:szCs w:val="21"/>
                <w:highlight w:val="none"/>
                <w:lang w:val="en-US" w:eastAsia="zh-CN"/>
              </w:rPr>
              <w:t>。</w:t>
            </w:r>
          </w:p>
        </w:tc>
      </w:tr>
      <w:tr w14:paraId="16CE3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14D7780C">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default" w:ascii="宋体" w:hAnsi="宋体" w:eastAsia="宋体" w:cs="宋体"/>
                <w:color w:val="auto"/>
                <w:kern w:val="0"/>
                <w:sz w:val="21"/>
                <w:szCs w:val="22"/>
                <w:highlight w:val="none"/>
                <w:lang w:val="en-US" w:eastAsia="zh-CN" w:bidi="ar-SA"/>
              </w:rPr>
            </w:pPr>
            <w:r>
              <w:rPr>
                <w:rFonts w:hint="eastAsia" w:ascii="宋体" w:hAnsi="宋体" w:cs="宋体"/>
                <w:color w:val="auto"/>
                <w:kern w:val="0"/>
                <w:highlight w:val="none"/>
                <w:lang w:val="en-US" w:eastAsia="zh-CN"/>
              </w:rPr>
              <w:t>5.2</w:t>
            </w:r>
          </w:p>
        </w:tc>
        <w:tc>
          <w:tcPr>
            <w:tcW w:w="3845" w:type="dxa"/>
            <w:vAlign w:val="center"/>
          </w:tcPr>
          <w:p w14:paraId="3A3E8B1D">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开标程序</w:t>
            </w:r>
          </w:p>
        </w:tc>
        <w:tc>
          <w:tcPr>
            <w:tcW w:w="4518" w:type="dxa"/>
            <w:vAlign w:val="center"/>
          </w:tcPr>
          <w:p w14:paraId="43F6CD2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详见投标人须知5.2.1条</w:t>
            </w:r>
          </w:p>
        </w:tc>
      </w:tr>
      <w:tr w14:paraId="42EA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shd w:val="clear" w:color="auto" w:fill="auto"/>
            <w:vAlign w:val="center"/>
          </w:tcPr>
          <w:p w14:paraId="7303DC3B">
            <w:pPr>
              <w:keepNext w:val="0"/>
              <w:keepLines w:val="0"/>
              <w:pageBreakBefore w:val="0"/>
              <w:tabs>
                <w:tab w:val="left" w:pos="293"/>
              </w:tabs>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6.1.1</w:t>
            </w:r>
          </w:p>
        </w:tc>
        <w:tc>
          <w:tcPr>
            <w:tcW w:w="3845" w:type="dxa"/>
            <w:shd w:val="clear" w:color="auto" w:fill="auto"/>
            <w:vAlign w:val="center"/>
          </w:tcPr>
          <w:p w14:paraId="5C6D8565">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评标委员会的组建</w:t>
            </w:r>
          </w:p>
        </w:tc>
        <w:tc>
          <w:tcPr>
            <w:tcW w:w="4518" w:type="dxa"/>
            <w:shd w:val="clear" w:color="auto" w:fill="auto"/>
            <w:vAlign w:val="center"/>
          </w:tcPr>
          <w:p w14:paraId="7388564B">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评标委员会构成：3 人。评标专家确定方式：随机抽取。</w:t>
            </w:r>
          </w:p>
        </w:tc>
      </w:tr>
      <w:tr w14:paraId="0978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7E3E68E0">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color w:val="auto"/>
                <w:kern w:val="0"/>
                <w:sz w:val="21"/>
                <w:szCs w:val="22"/>
                <w:highlight w:val="none"/>
                <w:lang w:val="en-US" w:eastAsia="zh-CN" w:bidi="ar-SA"/>
              </w:rPr>
            </w:pPr>
            <w:r>
              <w:rPr>
                <w:rFonts w:hint="eastAsia" w:ascii="宋体" w:hAnsi="宋体" w:eastAsia="宋体" w:cs="宋体"/>
                <w:b w:val="0"/>
                <w:bCs w:val="0"/>
                <w:color w:val="auto"/>
                <w:sz w:val="21"/>
                <w:szCs w:val="21"/>
                <w:highlight w:val="none"/>
              </w:rPr>
              <w:t>6.3</w:t>
            </w:r>
          </w:p>
        </w:tc>
        <w:tc>
          <w:tcPr>
            <w:tcW w:w="3845" w:type="dxa"/>
            <w:vAlign w:val="center"/>
          </w:tcPr>
          <w:p w14:paraId="77276202">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sz w:val="21"/>
                <w:szCs w:val="21"/>
                <w:highlight w:val="none"/>
              </w:rPr>
              <w:t>评标方法</w:t>
            </w:r>
          </w:p>
        </w:tc>
        <w:tc>
          <w:tcPr>
            <w:tcW w:w="4518" w:type="dxa"/>
            <w:vAlign w:val="center"/>
          </w:tcPr>
          <w:p w14:paraId="244A35B7">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sz w:val="21"/>
                <w:szCs w:val="21"/>
                <w:highlight w:val="none"/>
                <w:lang w:val="en-US" w:eastAsia="zh-CN"/>
              </w:rPr>
              <w:t>经评审的最低投标价法</w:t>
            </w:r>
          </w:p>
        </w:tc>
      </w:tr>
      <w:tr w14:paraId="7B06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35" w:type="dxa"/>
            <w:vAlign w:val="center"/>
          </w:tcPr>
          <w:p w14:paraId="3329148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cs="宋体"/>
                <w:color w:val="auto"/>
                <w:kern w:val="0"/>
                <w:highlight w:val="none"/>
              </w:rPr>
              <w:t>7.1</w:t>
            </w:r>
          </w:p>
        </w:tc>
        <w:tc>
          <w:tcPr>
            <w:tcW w:w="3845" w:type="dxa"/>
            <w:vAlign w:val="center"/>
          </w:tcPr>
          <w:p w14:paraId="3B4BE106">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hint="eastAsia" w:ascii="宋体" w:hAnsi="宋体" w:eastAsia="宋体" w:cs="宋体"/>
                <w:b w:val="0"/>
                <w:bCs w:val="0"/>
                <w:color w:val="auto"/>
                <w:sz w:val="21"/>
                <w:szCs w:val="21"/>
                <w:highlight w:val="none"/>
              </w:rPr>
            </w:pPr>
            <w:r>
              <w:rPr>
                <w:rFonts w:hint="eastAsia" w:ascii="宋体" w:hAnsi="宋体" w:cs="宋体"/>
                <w:color w:val="auto"/>
                <w:kern w:val="0"/>
                <w:highlight w:val="none"/>
              </w:rPr>
              <w:t>是否授权评委会确定中标人</w:t>
            </w:r>
          </w:p>
        </w:tc>
        <w:tc>
          <w:tcPr>
            <w:tcW w:w="4518" w:type="dxa"/>
            <w:vAlign w:val="center"/>
          </w:tcPr>
          <w:p w14:paraId="3885D432">
            <w:pPr>
              <w:keepNext w:val="0"/>
              <w:keepLines w:val="0"/>
              <w:pageBreakBefore w:val="0"/>
              <w:kinsoku/>
              <w:wordWrap/>
              <w:overflowPunct/>
              <w:topLinePunct w:val="0"/>
              <w:autoSpaceDE w:val="0"/>
              <w:autoSpaceDN w:val="0"/>
              <w:bidi w:val="0"/>
              <w:adjustRightInd w:val="0"/>
              <w:spacing w:line="400" w:lineRule="exact"/>
              <w:ind w:left="0" w:leftChars="0" w:right="0" w:rightChars="0"/>
              <w:jc w:val="both"/>
              <w:textAlignment w:val="auto"/>
              <w:rPr>
                <w:rFonts w:hint="eastAsia" w:ascii="宋体" w:hAnsi="宋体" w:cs="宋体"/>
                <w:b w:val="0"/>
                <w:bCs w:val="0"/>
                <w:color w:val="auto"/>
                <w:sz w:val="21"/>
                <w:szCs w:val="21"/>
                <w:highlight w:val="none"/>
                <w:lang w:val="en-US" w:eastAsia="zh-CN"/>
              </w:rPr>
            </w:pPr>
            <w:r>
              <w:rPr>
                <w:rFonts w:hint="eastAsia" w:ascii="宋体" w:hAnsi="宋体" w:cs="宋体"/>
                <w:color w:val="auto"/>
                <w:kern w:val="0"/>
                <w:highlight w:val="none"/>
              </w:rPr>
              <w:t>否，由评委会推荐</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名中标候选人</w:t>
            </w:r>
          </w:p>
        </w:tc>
      </w:tr>
      <w:tr w14:paraId="241B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935" w:type="dxa"/>
            <w:vAlign w:val="center"/>
          </w:tcPr>
          <w:p w14:paraId="31B8AE1A">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cs="宋体"/>
                <w:color w:val="auto"/>
                <w:kern w:val="0"/>
                <w:highlight w:val="none"/>
              </w:rPr>
              <w:t xml:space="preserve">7.3.1 </w:t>
            </w:r>
          </w:p>
        </w:tc>
        <w:tc>
          <w:tcPr>
            <w:tcW w:w="3845" w:type="dxa"/>
            <w:vAlign w:val="center"/>
          </w:tcPr>
          <w:p w14:paraId="4962A09D">
            <w:pPr>
              <w:keepNext w:val="0"/>
              <w:keepLines w:val="0"/>
              <w:pageBreakBefore w:val="0"/>
              <w:kinsoku/>
              <w:wordWrap/>
              <w:overflowPunct/>
              <w:topLinePunct w:val="0"/>
              <w:autoSpaceDE w:val="0"/>
              <w:autoSpaceDN w:val="0"/>
              <w:bidi w:val="0"/>
              <w:adjustRightInd w:val="0"/>
              <w:spacing w:line="400" w:lineRule="exact"/>
              <w:ind w:left="0" w:leftChars="0" w:right="0" w:rightChars="0"/>
              <w:jc w:val="center"/>
              <w:textAlignment w:val="auto"/>
              <w:rPr>
                <w:rFonts w:ascii="宋体" w:hAnsi="宋体" w:cs="宋体"/>
                <w:color w:val="auto"/>
                <w:kern w:val="0"/>
                <w:highlight w:val="none"/>
              </w:rPr>
            </w:pPr>
            <w:r>
              <w:rPr>
                <w:rFonts w:hint="eastAsia" w:ascii="宋体" w:hAnsi="宋体" w:cs="宋体"/>
                <w:color w:val="auto"/>
                <w:kern w:val="0"/>
                <w:highlight w:val="none"/>
              </w:rPr>
              <w:t>履约保证金</w:t>
            </w:r>
          </w:p>
        </w:tc>
        <w:tc>
          <w:tcPr>
            <w:tcW w:w="4518" w:type="dxa"/>
            <w:vAlign w:val="top"/>
          </w:tcPr>
          <w:p w14:paraId="323FB117">
            <w:pPr>
              <w:keepNext w:val="0"/>
              <w:keepLines w:val="0"/>
              <w:pageBreakBefore w:val="0"/>
              <w:kinsoku/>
              <w:wordWrap/>
              <w:overflowPunct/>
              <w:topLinePunct w:val="0"/>
              <w:autoSpaceDE w:val="0"/>
              <w:autoSpaceDN w:val="0"/>
              <w:bidi w:val="0"/>
              <w:adjustRightInd w:val="0"/>
              <w:spacing w:line="400" w:lineRule="exact"/>
              <w:ind w:left="0" w:leftChars="0" w:right="0" w:rightChars="0"/>
              <w:jc w:val="left"/>
              <w:textAlignment w:val="auto"/>
              <w:rPr>
                <w:rFonts w:ascii="宋体" w:hAnsi="宋体" w:cs="宋体"/>
                <w:color w:val="auto"/>
                <w:kern w:val="0"/>
                <w:highlight w:val="none"/>
              </w:rPr>
            </w:pPr>
            <w:r>
              <w:rPr>
                <w:rFonts w:hint="eastAsia"/>
                <w:color w:val="auto"/>
                <w:szCs w:val="21"/>
                <w:highlight w:val="none"/>
              </w:rPr>
              <w:t>按中标价的</w:t>
            </w:r>
            <w:r>
              <w:rPr>
                <w:rFonts w:hint="eastAsia" w:ascii="宋体" w:hAnsi="宋体" w:cs="宋体"/>
                <w:color w:val="auto"/>
                <w:szCs w:val="21"/>
                <w:highlight w:val="none"/>
                <w:lang w:val="en-US" w:eastAsia="zh-CN"/>
              </w:rPr>
              <w:t>5</w:t>
            </w:r>
            <w:r>
              <w:rPr>
                <w:rFonts w:hint="eastAsia"/>
                <w:color w:val="auto"/>
                <w:szCs w:val="21"/>
                <w:highlight w:val="none"/>
              </w:rPr>
              <w:t>%收取</w:t>
            </w:r>
            <w:r>
              <w:rPr>
                <w:rFonts w:hint="eastAsia"/>
                <w:color w:val="auto"/>
                <w:szCs w:val="21"/>
                <w:highlight w:val="none"/>
                <w:lang w:eastAsia="zh-CN"/>
              </w:rPr>
              <w:t>。</w:t>
            </w:r>
            <w:r>
              <w:rPr>
                <w:rFonts w:hint="eastAsia"/>
                <w:color w:val="auto"/>
                <w:szCs w:val="21"/>
                <w:highlight w:val="none"/>
                <w:lang w:val="en-US" w:eastAsia="zh-CN"/>
              </w:rPr>
              <w:t>缴纳方式：现金、履约保函、保单、转帐、电汇或银行汇票等形式从乙方的帐户转至招标人指定账户</w:t>
            </w:r>
            <w:r>
              <w:rPr>
                <w:rFonts w:hint="eastAsia"/>
                <w:color w:val="auto"/>
                <w:szCs w:val="21"/>
                <w:highlight w:val="none"/>
              </w:rPr>
              <w:t>，履约保证金在本工程竣工验收后全部无息退还（无息）。</w:t>
            </w:r>
          </w:p>
        </w:tc>
      </w:tr>
      <w:tr w14:paraId="2764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935" w:type="dxa"/>
            <w:vAlign w:val="center"/>
          </w:tcPr>
          <w:p w14:paraId="0F0EDCFD">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8.5.1</w:t>
            </w:r>
          </w:p>
        </w:tc>
        <w:tc>
          <w:tcPr>
            <w:tcW w:w="3845" w:type="dxa"/>
            <w:vAlign w:val="center"/>
          </w:tcPr>
          <w:p w14:paraId="41C07AB2">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异议提出的时间</w:t>
            </w:r>
          </w:p>
        </w:tc>
        <w:tc>
          <w:tcPr>
            <w:tcW w:w="4518" w:type="dxa"/>
            <w:vAlign w:val="center"/>
          </w:tcPr>
          <w:p w14:paraId="2509C544">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在知道或者应当知道之日起十日内（除投标人须知2.2条、5.2条、6.4条除外）</w:t>
            </w:r>
          </w:p>
        </w:tc>
      </w:tr>
      <w:tr w14:paraId="70E4D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935" w:type="dxa"/>
            <w:vAlign w:val="center"/>
          </w:tcPr>
          <w:p w14:paraId="21C1FAE9">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8.5.2</w:t>
            </w:r>
          </w:p>
        </w:tc>
        <w:tc>
          <w:tcPr>
            <w:tcW w:w="3845" w:type="dxa"/>
            <w:vAlign w:val="center"/>
          </w:tcPr>
          <w:p w14:paraId="386D814C">
            <w:pPr>
              <w:keepNext w:val="0"/>
              <w:keepLines w:val="0"/>
              <w:pageBreakBefore w:val="0"/>
              <w:kinsoku/>
              <w:wordWrap/>
              <w:overflowPunct/>
              <w:topLinePunct w:val="0"/>
              <w:bidi w:val="0"/>
              <w:adjustRightInd w:val="0"/>
              <w:snapToGrid w:val="0"/>
              <w:spacing w:line="400" w:lineRule="exact"/>
              <w:ind w:left="0" w:leftChars="0" w:right="0" w:rightChars="0"/>
              <w:jc w:val="center"/>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招投标监督管理部门</w:t>
            </w:r>
          </w:p>
        </w:tc>
        <w:tc>
          <w:tcPr>
            <w:tcW w:w="4518" w:type="dxa"/>
            <w:vAlign w:val="center"/>
          </w:tcPr>
          <w:p w14:paraId="031E3709">
            <w:pPr>
              <w:keepNext w:val="0"/>
              <w:keepLines w:val="0"/>
              <w:pageBreakBefore w:val="0"/>
              <w:kinsoku/>
              <w:wordWrap/>
              <w:overflowPunct/>
              <w:topLinePunct w:val="0"/>
              <w:bidi w:val="0"/>
              <w:adjustRightInd w:val="0"/>
              <w:snapToGrid w:val="0"/>
              <w:spacing w:line="400" w:lineRule="exact"/>
              <w:ind w:left="0" w:leftChars="0" w:right="0" w:rightChars="0"/>
              <w:textAlignment w:val="auto"/>
              <w:rPr>
                <w:rFonts w:ascii="宋体" w:hAnsi="宋体" w:cs="宋体"/>
                <w:color w:val="auto"/>
                <w:kern w:val="0"/>
                <w:sz w:val="28"/>
                <w:highlight w:val="none"/>
              </w:rPr>
            </w:pPr>
            <w:r>
              <w:rPr>
                <w:rFonts w:hint="eastAsia" w:ascii="宋体" w:hAnsi="宋体" w:eastAsia="宋体" w:cs="宋体"/>
                <w:b w:val="0"/>
                <w:bCs w:val="0"/>
                <w:color w:val="auto"/>
                <w:sz w:val="21"/>
                <w:szCs w:val="21"/>
                <w:highlight w:val="none"/>
              </w:rPr>
              <w:t>本项目的招标投标活动及其相关当事人应当接受有管辖权的建设工程招标投标行政监督部门依法实施的监督</w:t>
            </w:r>
            <w:r>
              <w:rPr>
                <w:rFonts w:hint="eastAsia" w:ascii="宋体" w:hAnsi="宋体" w:cs="宋体"/>
                <w:b w:val="0"/>
                <w:bCs w:val="0"/>
                <w:color w:val="auto"/>
                <w:sz w:val="21"/>
                <w:szCs w:val="21"/>
                <w:highlight w:val="none"/>
                <w:lang w:eastAsia="zh-CN"/>
              </w:rPr>
              <w:t>。</w:t>
            </w:r>
          </w:p>
        </w:tc>
      </w:tr>
      <w:tr w14:paraId="444CB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935" w:type="dxa"/>
            <w:vAlign w:val="center"/>
          </w:tcPr>
          <w:p w14:paraId="07364CF7">
            <w:pPr>
              <w:keepNext w:val="0"/>
              <w:keepLines w:val="0"/>
              <w:pageBreakBefore w:val="0"/>
              <w:kinsoku/>
              <w:wordWrap/>
              <w:overflowPunct/>
              <w:topLinePunct w:val="0"/>
              <w:autoSpaceDE w:val="0"/>
              <w:autoSpaceDN w:val="0"/>
              <w:bidi w:val="0"/>
              <w:adjustRightInd w:val="0"/>
              <w:spacing w:line="400" w:lineRule="exact"/>
              <w:jc w:val="center"/>
              <w:textAlignment w:val="auto"/>
              <w:rPr>
                <w:rFonts w:ascii="宋体" w:hAnsi="宋体" w:cs="宋体"/>
                <w:color w:val="auto"/>
                <w:kern w:val="0"/>
                <w:sz w:val="28"/>
                <w:highlight w:val="none"/>
              </w:rPr>
            </w:pPr>
            <w:r>
              <w:rPr>
                <w:rFonts w:hint="eastAsia" w:ascii="宋体" w:hAnsi="宋体" w:cs="宋体"/>
                <w:color w:val="auto"/>
                <w:kern w:val="0"/>
                <w:highlight w:val="none"/>
              </w:rPr>
              <w:t>10.1</w:t>
            </w:r>
          </w:p>
        </w:tc>
        <w:tc>
          <w:tcPr>
            <w:tcW w:w="8363" w:type="dxa"/>
            <w:gridSpan w:val="2"/>
            <w:vAlign w:val="center"/>
          </w:tcPr>
          <w:p w14:paraId="60DF2D68">
            <w:pPr>
              <w:keepNext w:val="0"/>
              <w:keepLines w:val="0"/>
              <w:pageBreakBefore w:val="0"/>
              <w:kinsoku/>
              <w:wordWrap/>
              <w:overflowPunct/>
              <w:topLinePunct w:val="0"/>
              <w:autoSpaceDE w:val="0"/>
              <w:autoSpaceDN w:val="0"/>
              <w:bidi w:val="0"/>
              <w:adjustRightInd w:val="0"/>
              <w:spacing w:line="240" w:lineRule="auto"/>
              <w:textAlignment w:val="auto"/>
              <w:rPr>
                <w:rFonts w:ascii="宋体" w:hAnsi="宋体" w:cs="宋体"/>
                <w:color w:val="auto"/>
                <w:kern w:val="0"/>
                <w:highlight w:val="none"/>
              </w:rPr>
            </w:pPr>
            <w:r>
              <w:rPr>
                <w:rFonts w:hint="eastAsia" w:ascii="宋体" w:hAnsi="宋体" w:cs="宋体"/>
                <w:color w:val="auto"/>
                <w:kern w:val="0"/>
                <w:highlight w:val="none"/>
              </w:rPr>
              <w:t>本工程设招标控制价，凡投标人的投标价格超出“招标控制价”按废标处理，本工程的招</w:t>
            </w:r>
            <w:r>
              <w:rPr>
                <w:rFonts w:hint="eastAsia" w:ascii="宋体" w:hAnsi="宋体" w:cs="宋体"/>
                <w:color w:val="auto"/>
                <w:kern w:val="0"/>
                <w:highlight w:val="none"/>
              </w:rPr>
              <w:t>标控制价：</w:t>
            </w:r>
            <w:r>
              <w:rPr>
                <w:rFonts w:hint="eastAsia" w:ascii="宋体" w:hAnsi="宋体" w:cs="宋体"/>
                <w:color w:val="auto"/>
                <w:kern w:val="0"/>
                <w:highlight w:val="none"/>
                <w:lang w:val="en-US" w:eastAsia="zh-CN"/>
              </w:rPr>
              <w:t>477715.00</w:t>
            </w:r>
            <w:r>
              <w:rPr>
                <w:rFonts w:hint="eastAsia" w:ascii="宋体" w:hAnsi="宋体" w:cs="宋体"/>
                <w:color w:val="auto"/>
                <w:kern w:val="0"/>
                <w:highlight w:val="none"/>
              </w:rPr>
              <w:t>元。</w:t>
            </w:r>
          </w:p>
        </w:tc>
      </w:tr>
      <w:tr w14:paraId="5AD5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35" w:type="dxa"/>
            <w:vAlign w:val="center"/>
          </w:tcPr>
          <w:p w14:paraId="0CD12D63">
            <w:pPr>
              <w:keepNext w:val="0"/>
              <w:keepLines w:val="0"/>
              <w:pageBreakBefore w:val="0"/>
              <w:kinsoku/>
              <w:wordWrap/>
              <w:overflowPunct/>
              <w:topLinePunct w:val="0"/>
              <w:autoSpaceDE w:val="0"/>
              <w:autoSpaceDN w:val="0"/>
              <w:bidi w:val="0"/>
              <w:adjustRightInd w:val="0"/>
              <w:spacing w:line="400" w:lineRule="exact"/>
              <w:jc w:val="center"/>
              <w:textAlignment w:val="auto"/>
              <w:rPr>
                <w:rFonts w:hint="eastAsia" w:ascii="宋体" w:hAnsi="宋体" w:eastAsia="宋体" w:cs="宋体"/>
                <w:color w:val="auto"/>
                <w:kern w:val="0"/>
                <w:highlight w:val="none"/>
                <w:lang w:eastAsia="zh-CN"/>
              </w:rPr>
            </w:pPr>
            <w:r>
              <w:rPr>
                <w:rFonts w:hint="eastAsia" w:ascii="宋体" w:hAnsi="宋体" w:cs="宋体"/>
                <w:color w:val="auto"/>
                <w:kern w:val="0"/>
                <w:highlight w:val="none"/>
              </w:rPr>
              <w:t>10.</w:t>
            </w:r>
            <w:r>
              <w:rPr>
                <w:rFonts w:hint="eastAsia" w:ascii="宋体" w:hAnsi="宋体" w:cs="宋体"/>
                <w:color w:val="auto"/>
                <w:kern w:val="0"/>
                <w:highlight w:val="none"/>
                <w:lang w:val="en-US" w:eastAsia="zh-CN"/>
              </w:rPr>
              <w:t>2</w:t>
            </w:r>
          </w:p>
        </w:tc>
        <w:tc>
          <w:tcPr>
            <w:tcW w:w="8363" w:type="dxa"/>
            <w:gridSpan w:val="2"/>
            <w:vAlign w:val="center"/>
          </w:tcPr>
          <w:p w14:paraId="207D7CDA">
            <w:pPr>
              <w:keepNext w:val="0"/>
              <w:keepLines w:val="0"/>
              <w:pageBreakBefore w:val="0"/>
              <w:kinsoku/>
              <w:wordWrap/>
              <w:overflowPunct/>
              <w:topLinePunct w:val="0"/>
              <w:autoSpaceDE w:val="0"/>
              <w:autoSpaceDN w:val="0"/>
              <w:bidi w:val="0"/>
              <w:adjustRightInd w:val="0"/>
              <w:spacing w:line="400" w:lineRule="exact"/>
              <w:textAlignment w:val="auto"/>
              <w:rPr>
                <w:rFonts w:ascii="宋体" w:hAnsi="宋体" w:cs="宋体"/>
                <w:color w:val="auto"/>
                <w:kern w:val="0"/>
                <w:highlight w:val="none"/>
              </w:rPr>
            </w:pPr>
            <w:r>
              <w:rPr>
                <w:rFonts w:hint="eastAsia" w:ascii="宋体" w:hAnsi="宋体" w:cs="宋体"/>
                <w:color w:val="auto"/>
                <w:kern w:val="0"/>
                <w:highlight w:val="none"/>
              </w:rPr>
              <w:t>本招标文件解释权归</w:t>
            </w:r>
            <w:r>
              <w:rPr>
                <w:rFonts w:hint="eastAsia"/>
                <w:color w:val="auto"/>
                <w:szCs w:val="21"/>
                <w:highlight w:val="none"/>
                <w:lang w:eastAsia="zh-CN"/>
              </w:rPr>
              <w:t>响水县大有镇康庄村村民委员会</w:t>
            </w:r>
            <w:r>
              <w:rPr>
                <w:rFonts w:hint="eastAsia" w:ascii="宋体" w:hAnsi="宋体" w:cs="宋体"/>
                <w:color w:val="auto"/>
                <w:kern w:val="0"/>
                <w:highlight w:val="none"/>
              </w:rPr>
              <w:t>所有</w:t>
            </w:r>
          </w:p>
        </w:tc>
      </w:tr>
    </w:tbl>
    <w:p w14:paraId="6ED0A9D4">
      <w:pPr>
        <w:rPr>
          <w:rFonts w:hint="eastAsia" w:hAnsi="宋体" w:cs="宋体"/>
          <w:b/>
          <w:bCs/>
          <w:color w:val="auto"/>
          <w:sz w:val="21"/>
          <w:szCs w:val="21"/>
          <w:highlight w:val="none"/>
        </w:rPr>
      </w:pPr>
      <w:bookmarkStart w:id="28" w:name="_Toc302402672"/>
      <w:bookmarkStart w:id="29" w:name="_Toc214433860"/>
      <w:bookmarkStart w:id="30" w:name="_Toc302986167"/>
      <w:bookmarkStart w:id="31" w:name="_Toc228591482"/>
      <w:bookmarkStart w:id="32" w:name="_Toc227492217"/>
      <w:bookmarkStart w:id="33" w:name="_Toc227657460"/>
      <w:bookmarkStart w:id="34" w:name="_Toc228337071"/>
      <w:bookmarkStart w:id="35" w:name="_Toc228881134"/>
      <w:bookmarkStart w:id="36" w:name="_Toc228589136"/>
      <w:bookmarkStart w:id="37" w:name="_Toc228591630"/>
      <w:r>
        <w:rPr>
          <w:rFonts w:hint="eastAsia" w:hAnsi="宋体" w:cs="宋体"/>
          <w:b/>
          <w:bCs/>
          <w:color w:val="auto"/>
          <w:sz w:val="21"/>
          <w:szCs w:val="21"/>
          <w:highlight w:val="none"/>
        </w:rPr>
        <w:br w:type="page"/>
      </w:r>
    </w:p>
    <w:p w14:paraId="60F5A913">
      <w:pPr>
        <w:pStyle w:val="22"/>
        <w:spacing w:line="500" w:lineRule="exact"/>
        <w:ind w:firstLine="422" w:firstLineChars="200"/>
        <w:jc w:val="both"/>
        <w:rPr>
          <w:rFonts w:hAnsi="宋体" w:cs="宋体"/>
          <w:b/>
          <w:bCs/>
          <w:color w:val="auto"/>
          <w:sz w:val="21"/>
          <w:szCs w:val="21"/>
          <w:highlight w:val="none"/>
        </w:rPr>
      </w:pPr>
      <w:r>
        <w:rPr>
          <w:rFonts w:hint="eastAsia" w:hAnsi="宋体" w:cs="宋体"/>
          <w:b/>
          <w:bCs/>
          <w:color w:val="auto"/>
          <w:sz w:val="21"/>
          <w:szCs w:val="21"/>
          <w:highlight w:val="none"/>
        </w:rPr>
        <w:t>1. 总则</w:t>
      </w:r>
      <w:bookmarkEnd w:id="28"/>
      <w:bookmarkEnd w:id="29"/>
      <w:bookmarkEnd w:id="30"/>
      <w:bookmarkEnd w:id="31"/>
      <w:bookmarkEnd w:id="32"/>
      <w:bookmarkEnd w:id="33"/>
      <w:bookmarkEnd w:id="34"/>
      <w:bookmarkEnd w:id="35"/>
      <w:bookmarkEnd w:id="36"/>
      <w:bookmarkEnd w:id="37"/>
    </w:p>
    <w:p w14:paraId="460EE205">
      <w:pPr>
        <w:autoSpaceDE w:val="0"/>
        <w:autoSpaceDN w:val="0"/>
        <w:adjustRightInd w:val="0"/>
        <w:spacing w:line="500" w:lineRule="exact"/>
        <w:ind w:firstLine="420" w:firstLineChars="200"/>
        <w:rPr>
          <w:rFonts w:ascii="宋体" w:hAnsi="宋体" w:cs="宋体"/>
          <w:color w:val="auto"/>
          <w:kern w:val="0"/>
          <w:szCs w:val="21"/>
          <w:highlight w:val="none"/>
        </w:rPr>
      </w:pPr>
      <w:bookmarkStart w:id="38" w:name="_Toc227657461"/>
      <w:bookmarkStart w:id="39" w:name="_Toc228591483"/>
      <w:bookmarkStart w:id="40" w:name="_Toc228589137"/>
      <w:bookmarkStart w:id="41" w:name="_Toc228337072"/>
      <w:bookmarkStart w:id="42" w:name="_Toc228591631"/>
      <w:bookmarkStart w:id="43" w:name="_Toc214433861"/>
      <w:bookmarkStart w:id="44" w:name="_Toc286251824"/>
      <w:bookmarkStart w:id="45" w:name="_Toc302402673"/>
      <w:bookmarkStart w:id="46" w:name="_Toc227492218"/>
      <w:bookmarkStart w:id="47" w:name="_Toc302986168"/>
      <w:bookmarkStart w:id="48" w:name="_Toc228881135"/>
      <w:r>
        <w:rPr>
          <w:rFonts w:hint="eastAsia" w:ascii="宋体" w:hAnsi="宋体" w:cs="宋体"/>
          <w:color w:val="auto"/>
          <w:kern w:val="0"/>
          <w:szCs w:val="21"/>
          <w:highlight w:val="none"/>
        </w:rPr>
        <w:t>1.1 项目概况</w:t>
      </w:r>
      <w:bookmarkEnd w:id="38"/>
      <w:bookmarkEnd w:id="39"/>
      <w:bookmarkEnd w:id="40"/>
      <w:bookmarkEnd w:id="41"/>
      <w:bookmarkEnd w:id="42"/>
      <w:bookmarkEnd w:id="43"/>
      <w:bookmarkEnd w:id="44"/>
      <w:bookmarkEnd w:id="45"/>
      <w:bookmarkEnd w:id="46"/>
      <w:bookmarkEnd w:id="47"/>
      <w:bookmarkEnd w:id="48"/>
    </w:p>
    <w:p w14:paraId="5CB01A53">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1.1.1 根据《中华人民共和国招标投标法》等有关法律、法规和规章的规定，本招标项目已具备招标条件，现对本标段施工进行招标。</w:t>
      </w:r>
    </w:p>
    <w:p w14:paraId="2866FB5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1.1.2 本招标项目招标人：见投标人须知前附表。</w:t>
      </w:r>
    </w:p>
    <w:p w14:paraId="4E5BE91B">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1.1.3 本标段招标代理机构：见投标人须知前附表。</w:t>
      </w:r>
    </w:p>
    <w:p w14:paraId="3CEE1D2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1.1.4 本招标项目名称：见投标人须知前附表。</w:t>
      </w:r>
    </w:p>
    <w:p w14:paraId="7D0ABFBA">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1.1.5 本标段建设地点：见投标人须知前附表。</w:t>
      </w:r>
    </w:p>
    <w:p w14:paraId="03EEAB12">
      <w:pPr>
        <w:autoSpaceDE w:val="0"/>
        <w:autoSpaceDN w:val="0"/>
        <w:adjustRightInd w:val="0"/>
        <w:spacing w:line="500" w:lineRule="exact"/>
        <w:ind w:firstLine="420" w:firstLineChars="200"/>
        <w:rPr>
          <w:rFonts w:ascii="宋体" w:hAnsi="宋体" w:cs="宋体"/>
          <w:color w:val="auto"/>
          <w:kern w:val="0"/>
          <w:szCs w:val="21"/>
          <w:highlight w:val="none"/>
        </w:rPr>
      </w:pPr>
      <w:bookmarkStart w:id="49" w:name="_Toc302986169"/>
      <w:bookmarkStart w:id="50" w:name="_Toc286251825"/>
      <w:bookmarkStart w:id="51" w:name="_Toc228589138"/>
      <w:bookmarkStart w:id="52" w:name="_Toc227657462"/>
      <w:bookmarkStart w:id="53" w:name="_Toc228881136"/>
      <w:bookmarkStart w:id="54" w:name="_Toc302402674"/>
      <w:bookmarkStart w:id="55" w:name="_Toc228337073"/>
      <w:bookmarkStart w:id="56" w:name="_Toc227492219"/>
      <w:bookmarkStart w:id="57" w:name="_Toc228591632"/>
      <w:bookmarkStart w:id="58" w:name="_Toc214433862"/>
      <w:bookmarkStart w:id="59" w:name="_Toc228591484"/>
      <w:r>
        <w:rPr>
          <w:rFonts w:hint="eastAsia" w:ascii="宋体" w:hAnsi="宋体" w:cs="宋体"/>
          <w:color w:val="auto"/>
          <w:kern w:val="0"/>
          <w:szCs w:val="21"/>
          <w:highlight w:val="none"/>
        </w:rPr>
        <w:t>1.2 资金来源和落实情况</w:t>
      </w:r>
      <w:bookmarkEnd w:id="49"/>
      <w:bookmarkEnd w:id="50"/>
      <w:bookmarkEnd w:id="51"/>
      <w:bookmarkEnd w:id="52"/>
      <w:bookmarkEnd w:id="53"/>
      <w:bookmarkEnd w:id="54"/>
      <w:bookmarkEnd w:id="55"/>
      <w:bookmarkEnd w:id="56"/>
      <w:bookmarkEnd w:id="57"/>
      <w:bookmarkEnd w:id="58"/>
      <w:bookmarkEnd w:id="59"/>
    </w:p>
    <w:p w14:paraId="3190A9E0">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1.2.1 本招标项目的资金来源：见投标人须知前附表。</w:t>
      </w:r>
    </w:p>
    <w:p w14:paraId="0A78DAC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1.2.2 本招标项目的出资比例：见投标人须知前附表。</w:t>
      </w:r>
    </w:p>
    <w:p w14:paraId="5B8D706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1.2.3 本招标项目的资金落实情况：见投标人须知前附表。</w:t>
      </w:r>
    </w:p>
    <w:p w14:paraId="385763F0">
      <w:pPr>
        <w:autoSpaceDE w:val="0"/>
        <w:autoSpaceDN w:val="0"/>
        <w:adjustRightInd w:val="0"/>
        <w:spacing w:line="500" w:lineRule="exact"/>
        <w:ind w:firstLine="420" w:firstLineChars="200"/>
        <w:rPr>
          <w:rFonts w:ascii="宋体" w:hAnsi="宋体" w:cs="宋体"/>
          <w:color w:val="auto"/>
          <w:kern w:val="0"/>
          <w:szCs w:val="21"/>
          <w:highlight w:val="none"/>
        </w:rPr>
      </w:pPr>
      <w:bookmarkStart w:id="60" w:name="_Toc214433863"/>
      <w:bookmarkStart w:id="61" w:name="_Toc228337074"/>
      <w:bookmarkStart w:id="62" w:name="_Toc286251826"/>
      <w:bookmarkStart w:id="63" w:name="_Toc228591633"/>
      <w:bookmarkStart w:id="64" w:name="_Toc227657463"/>
      <w:bookmarkStart w:id="65" w:name="_Toc228589139"/>
      <w:bookmarkStart w:id="66" w:name="_Toc302986170"/>
      <w:bookmarkStart w:id="67" w:name="_Toc228591485"/>
      <w:bookmarkStart w:id="68" w:name="_Toc228881137"/>
      <w:bookmarkStart w:id="69" w:name="_Toc227492220"/>
      <w:bookmarkStart w:id="70" w:name="_Toc302402675"/>
      <w:r>
        <w:rPr>
          <w:rFonts w:hint="eastAsia" w:ascii="宋体" w:hAnsi="宋体" w:cs="宋体"/>
          <w:color w:val="auto"/>
          <w:kern w:val="0"/>
          <w:szCs w:val="21"/>
          <w:highlight w:val="none"/>
        </w:rPr>
        <w:t>1.3 招标范围、计划工期和质量要求</w:t>
      </w:r>
      <w:bookmarkEnd w:id="60"/>
      <w:bookmarkEnd w:id="61"/>
      <w:bookmarkEnd w:id="62"/>
      <w:bookmarkEnd w:id="63"/>
      <w:bookmarkEnd w:id="64"/>
      <w:bookmarkEnd w:id="65"/>
      <w:bookmarkEnd w:id="66"/>
      <w:bookmarkEnd w:id="67"/>
      <w:bookmarkEnd w:id="68"/>
      <w:bookmarkEnd w:id="69"/>
      <w:bookmarkEnd w:id="70"/>
    </w:p>
    <w:p w14:paraId="349A82A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1.3.1 本次招标范围：见投标人须知前附表。</w:t>
      </w:r>
    </w:p>
    <w:p w14:paraId="53BCDFB8">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1.3.2 本标段的计划工期：见投标人须知前附表。</w:t>
      </w:r>
    </w:p>
    <w:p w14:paraId="79A894D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1.3.3 本标段的质量要求：见投标人须知前附表。</w:t>
      </w:r>
    </w:p>
    <w:p w14:paraId="1CF22499">
      <w:pPr>
        <w:autoSpaceDE w:val="0"/>
        <w:autoSpaceDN w:val="0"/>
        <w:adjustRightInd w:val="0"/>
        <w:spacing w:line="500" w:lineRule="exact"/>
        <w:ind w:firstLine="420" w:firstLineChars="200"/>
        <w:rPr>
          <w:rFonts w:ascii="宋体" w:hAnsi="宋体" w:cs="宋体"/>
          <w:color w:val="auto"/>
          <w:kern w:val="0"/>
          <w:szCs w:val="21"/>
          <w:highlight w:val="none"/>
        </w:rPr>
      </w:pPr>
      <w:bookmarkStart w:id="71" w:name="_Toc286251827"/>
      <w:bookmarkStart w:id="72" w:name="_Toc302402676"/>
      <w:bookmarkStart w:id="73" w:name="_Toc302986171"/>
      <w:r>
        <w:rPr>
          <w:rFonts w:hint="eastAsia" w:ascii="宋体" w:hAnsi="宋体" w:cs="宋体"/>
          <w:color w:val="auto"/>
          <w:kern w:val="0"/>
          <w:szCs w:val="21"/>
          <w:highlight w:val="none"/>
        </w:rPr>
        <w:t>1.4 投标人资格要求</w:t>
      </w:r>
      <w:bookmarkEnd w:id="71"/>
      <w:bookmarkEnd w:id="72"/>
      <w:bookmarkEnd w:id="73"/>
    </w:p>
    <w:p w14:paraId="069EFAC5">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1.4.1 投标人应具备承担本标段施工的资质条件、能力和信誉。</w:t>
      </w:r>
    </w:p>
    <w:p w14:paraId="394D1BE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（1）资质条件：见投标人须知前附表；</w:t>
      </w:r>
    </w:p>
    <w:p w14:paraId="7082FF3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（2）财务要求：见投标人须知前附表；</w:t>
      </w:r>
    </w:p>
    <w:p w14:paraId="11A7558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（3）信誉要求：见投标人须知前附表;</w:t>
      </w:r>
    </w:p>
    <w:p w14:paraId="216932C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（4）项目经理资格：见投标人须知前附表；</w:t>
      </w:r>
    </w:p>
    <w:p w14:paraId="0D5FF89F">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1.4.2 投标人不得存在下列情形之一：</w:t>
      </w:r>
    </w:p>
    <w:p w14:paraId="15ED1F8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（1）为投标人不具有独立法人资格的附属机构（单位）；</w:t>
      </w:r>
    </w:p>
    <w:p w14:paraId="0F3496E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（2）为本标段前期准备提供设计或咨询服务的，但设计施工总承包的除外；</w:t>
      </w:r>
    </w:p>
    <w:p w14:paraId="23422BF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（3）为本标段的监理人；</w:t>
      </w:r>
    </w:p>
    <w:p w14:paraId="63EC113A">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（4）为本标段的代建人；</w:t>
      </w:r>
    </w:p>
    <w:p w14:paraId="342C8977">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（5）为本标段提供招标代理服务的；</w:t>
      </w:r>
    </w:p>
    <w:p w14:paraId="20265DE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（6）与本标段的监理人或代建人或招标代理机构同为一个法定代表人的；</w:t>
      </w:r>
    </w:p>
    <w:p w14:paraId="379B460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（7）与本标段的监理人或代建人或招标代理机构相互控股或参股的；</w:t>
      </w:r>
    </w:p>
    <w:p w14:paraId="05756CF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（8）与本标段的监理人或代建人或招标代理机构相互任职或工作的；</w:t>
      </w:r>
    </w:p>
    <w:p w14:paraId="687E37B1">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（9）被责令停业的；</w:t>
      </w:r>
    </w:p>
    <w:p w14:paraId="73082B8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（10）被暂停或取消投标资格的；</w:t>
      </w:r>
    </w:p>
    <w:p w14:paraId="4BA0761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（11）财产被接管或冻结的；</w:t>
      </w:r>
    </w:p>
    <w:p w14:paraId="06AD5E7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（12）在最近三年内有骗取中标或严重违约或重大工程质量问题的。</w:t>
      </w:r>
    </w:p>
    <w:p w14:paraId="4BDF680D">
      <w:pPr>
        <w:autoSpaceDE w:val="0"/>
        <w:autoSpaceDN w:val="0"/>
        <w:adjustRightInd w:val="0"/>
        <w:spacing w:line="500" w:lineRule="exact"/>
        <w:ind w:firstLine="420" w:firstLineChars="200"/>
        <w:rPr>
          <w:rFonts w:ascii="宋体" w:hAnsi="宋体" w:cs="宋体"/>
          <w:color w:val="auto"/>
          <w:kern w:val="0"/>
          <w:szCs w:val="21"/>
          <w:highlight w:val="none"/>
        </w:rPr>
      </w:pPr>
      <w:bookmarkStart w:id="74" w:name="_Toc227657465"/>
      <w:bookmarkStart w:id="75" w:name="_Toc228591487"/>
      <w:bookmarkStart w:id="76" w:name="_Toc227492222"/>
      <w:bookmarkStart w:id="77" w:name="_Toc214433865"/>
      <w:bookmarkStart w:id="78" w:name="_Toc228589141"/>
      <w:bookmarkStart w:id="79" w:name="_Toc228591635"/>
      <w:bookmarkStart w:id="80" w:name="_Toc228337076"/>
      <w:bookmarkStart w:id="81" w:name="_Toc286251828"/>
      <w:bookmarkStart w:id="82" w:name="_Toc302402677"/>
      <w:bookmarkStart w:id="83" w:name="_Toc228881139"/>
      <w:bookmarkStart w:id="84" w:name="_Toc302986172"/>
      <w:r>
        <w:rPr>
          <w:rFonts w:hint="eastAsia" w:ascii="宋体" w:hAnsi="宋体" w:cs="宋体"/>
          <w:color w:val="auto"/>
          <w:kern w:val="0"/>
          <w:szCs w:val="21"/>
          <w:highlight w:val="none"/>
        </w:rPr>
        <w:t>1.5 费用承担</w:t>
      </w:r>
      <w:bookmarkEnd w:id="74"/>
      <w:bookmarkEnd w:id="75"/>
      <w:bookmarkEnd w:id="76"/>
      <w:bookmarkEnd w:id="77"/>
      <w:bookmarkEnd w:id="78"/>
      <w:bookmarkEnd w:id="79"/>
      <w:bookmarkEnd w:id="80"/>
      <w:bookmarkEnd w:id="81"/>
      <w:bookmarkEnd w:id="82"/>
      <w:bookmarkEnd w:id="83"/>
      <w:bookmarkEnd w:id="84"/>
    </w:p>
    <w:p w14:paraId="4A90D0F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投标人准备和参加投标活动发生的费用自理。</w:t>
      </w:r>
    </w:p>
    <w:p w14:paraId="29C29449">
      <w:pPr>
        <w:autoSpaceDE w:val="0"/>
        <w:autoSpaceDN w:val="0"/>
        <w:adjustRightInd w:val="0"/>
        <w:spacing w:line="500" w:lineRule="exact"/>
        <w:ind w:firstLine="420" w:firstLineChars="200"/>
        <w:rPr>
          <w:rFonts w:ascii="宋体" w:hAnsi="宋体" w:cs="宋体"/>
          <w:color w:val="auto"/>
          <w:kern w:val="0"/>
          <w:szCs w:val="21"/>
          <w:highlight w:val="none"/>
        </w:rPr>
      </w:pPr>
      <w:bookmarkStart w:id="85" w:name="_Toc228591488"/>
      <w:bookmarkStart w:id="86" w:name="_Toc302986173"/>
      <w:bookmarkStart w:id="87" w:name="_Toc227657466"/>
      <w:bookmarkStart w:id="88" w:name="_Toc228589142"/>
      <w:bookmarkStart w:id="89" w:name="_Toc228881140"/>
      <w:bookmarkStart w:id="90" w:name="_Toc227492223"/>
      <w:bookmarkStart w:id="91" w:name="_Toc214433866"/>
      <w:bookmarkStart w:id="92" w:name="_Toc286251829"/>
      <w:bookmarkStart w:id="93" w:name="_Toc228591636"/>
      <w:bookmarkStart w:id="94" w:name="_Toc228337077"/>
      <w:bookmarkStart w:id="95" w:name="_Toc302402678"/>
      <w:r>
        <w:rPr>
          <w:rFonts w:hint="eastAsia" w:ascii="宋体" w:hAnsi="宋体" w:cs="宋体"/>
          <w:color w:val="auto"/>
          <w:kern w:val="0"/>
          <w:szCs w:val="21"/>
          <w:highlight w:val="none"/>
        </w:rPr>
        <w:t>1.6 保密</w:t>
      </w:r>
      <w:bookmarkEnd w:id="85"/>
      <w:bookmarkEnd w:id="86"/>
      <w:bookmarkEnd w:id="87"/>
      <w:bookmarkEnd w:id="88"/>
      <w:bookmarkEnd w:id="89"/>
      <w:bookmarkEnd w:id="90"/>
      <w:bookmarkEnd w:id="91"/>
      <w:bookmarkEnd w:id="92"/>
      <w:bookmarkEnd w:id="93"/>
      <w:bookmarkEnd w:id="94"/>
      <w:bookmarkEnd w:id="95"/>
    </w:p>
    <w:p w14:paraId="33290674">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参与招标投标活动的各方应对招标文件和投标文件中的商业和技术等秘密保密，违者应对由此造成的后果承担法律责任。</w:t>
      </w:r>
    </w:p>
    <w:p w14:paraId="0811F3E3">
      <w:pPr>
        <w:autoSpaceDE w:val="0"/>
        <w:autoSpaceDN w:val="0"/>
        <w:adjustRightInd w:val="0"/>
        <w:spacing w:line="500" w:lineRule="exact"/>
        <w:ind w:firstLine="420" w:firstLineChars="200"/>
        <w:rPr>
          <w:rFonts w:ascii="宋体" w:hAnsi="宋体" w:cs="宋体"/>
          <w:color w:val="auto"/>
          <w:kern w:val="0"/>
          <w:szCs w:val="21"/>
          <w:highlight w:val="none"/>
        </w:rPr>
      </w:pPr>
      <w:bookmarkStart w:id="96" w:name="_Toc286251830"/>
      <w:bookmarkStart w:id="97" w:name="_Toc228589143"/>
      <w:bookmarkStart w:id="98" w:name="_Toc302402679"/>
      <w:bookmarkStart w:id="99" w:name="_Toc228591489"/>
      <w:bookmarkStart w:id="100" w:name="_Toc228337078"/>
      <w:bookmarkStart w:id="101" w:name="_Toc214433867"/>
      <w:bookmarkStart w:id="102" w:name="_Toc228591637"/>
      <w:bookmarkStart w:id="103" w:name="_Toc227657467"/>
      <w:bookmarkStart w:id="104" w:name="_Toc302986174"/>
      <w:bookmarkStart w:id="105" w:name="_Toc227492224"/>
      <w:bookmarkStart w:id="106" w:name="_Toc228881141"/>
      <w:r>
        <w:rPr>
          <w:rFonts w:hint="eastAsia" w:ascii="宋体" w:hAnsi="宋体" w:cs="宋体"/>
          <w:color w:val="auto"/>
          <w:kern w:val="0"/>
          <w:szCs w:val="21"/>
          <w:highlight w:val="none"/>
        </w:rPr>
        <w:t>1.7 语言文字</w:t>
      </w:r>
      <w:bookmarkEnd w:id="96"/>
      <w:bookmarkEnd w:id="97"/>
      <w:bookmarkEnd w:id="98"/>
      <w:bookmarkEnd w:id="99"/>
      <w:bookmarkEnd w:id="100"/>
      <w:bookmarkEnd w:id="101"/>
      <w:bookmarkEnd w:id="102"/>
      <w:bookmarkEnd w:id="103"/>
      <w:bookmarkEnd w:id="104"/>
      <w:bookmarkEnd w:id="105"/>
      <w:bookmarkEnd w:id="106"/>
    </w:p>
    <w:p w14:paraId="21B45246">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除专用术语外，与招标投标有关的语言均使用中文。必要时专用术语应附有中文注释。</w:t>
      </w:r>
    </w:p>
    <w:p w14:paraId="7E38A60D">
      <w:pPr>
        <w:autoSpaceDE w:val="0"/>
        <w:autoSpaceDN w:val="0"/>
        <w:adjustRightInd w:val="0"/>
        <w:spacing w:line="500" w:lineRule="exact"/>
        <w:ind w:firstLine="420" w:firstLineChars="200"/>
        <w:rPr>
          <w:rFonts w:ascii="宋体" w:hAnsi="宋体" w:cs="宋体"/>
          <w:color w:val="auto"/>
          <w:kern w:val="0"/>
          <w:szCs w:val="21"/>
          <w:highlight w:val="none"/>
        </w:rPr>
      </w:pPr>
      <w:bookmarkStart w:id="107" w:name="_Toc302402680"/>
      <w:bookmarkStart w:id="108" w:name="_Toc227657468"/>
      <w:bookmarkStart w:id="109" w:name="_Toc228591638"/>
      <w:bookmarkStart w:id="110" w:name="_Toc228881142"/>
      <w:bookmarkStart w:id="111" w:name="_Toc228337079"/>
      <w:bookmarkStart w:id="112" w:name="_Toc214433868"/>
      <w:bookmarkStart w:id="113" w:name="_Toc228589144"/>
      <w:bookmarkStart w:id="114" w:name="_Toc286251831"/>
      <w:bookmarkStart w:id="115" w:name="_Toc228591490"/>
      <w:bookmarkStart w:id="116" w:name="_Toc302986175"/>
      <w:bookmarkStart w:id="117" w:name="_Toc227492225"/>
      <w:r>
        <w:rPr>
          <w:rFonts w:hint="eastAsia" w:ascii="宋体" w:hAnsi="宋体" w:cs="宋体"/>
          <w:color w:val="auto"/>
          <w:kern w:val="0"/>
          <w:szCs w:val="21"/>
          <w:highlight w:val="none"/>
        </w:rPr>
        <w:t>1.8 计量单位</w:t>
      </w:r>
      <w:bookmarkEnd w:id="107"/>
      <w:bookmarkEnd w:id="108"/>
      <w:bookmarkEnd w:id="109"/>
      <w:bookmarkEnd w:id="110"/>
      <w:bookmarkEnd w:id="111"/>
      <w:bookmarkEnd w:id="112"/>
      <w:bookmarkEnd w:id="113"/>
      <w:bookmarkEnd w:id="114"/>
      <w:bookmarkEnd w:id="115"/>
      <w:bookmarkEnd w:id="116"/>
      <w:bookmarkEnd w:id="117"/>
    </w:p>
    <w:p w14:paraId="5ECAAFA2">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所有计量均采用中华人民共和国法定计量单位。</w:t>
      </w:r>
    </w:p>
    <w:p w14:paraId="4935AAEF">
      <w:pPr>
        <w:autoSpaceDE w:val="0"/>
        <w:autoSpaceDN w:val="0"/>
        <w:adjustRightInd w:val="0"/>
        <w:spacing w:line="500" w:lineRule="exact"/>
        <w:ind w:firstLine="420" w:firstLineChars="200"/>
        <w:rPr>
          <w:rFonts w:ascii="宋体" w:hAnsi="宋体" w:cs="宋体"/>
          <w:color w:val="auto"/>
          <w:kern w:val="0"/>
          <w:szCs w:val="21"/>
          <w:highlight w:val="none"/>
        </w:rPr>
      </w:pPr>
      <w:bookmarkStart w:id="118" w:name="_Toc228589145"/>
      <w:bookmarkStart w:id="119" w:name="_Toc228591639"/>
      <w:bookmarkStart w:id="120" w:name="_Toc286251832"/>
      <w:bookmarkStart w:id="121" w:name="_Toc302402681"/>
      <w:bookmarkStart w:id="122" w:name="_Toc227657469"/>
      <w:bookmarkStart w:id="123" w:name="_Toc228591491"/>
      <w:bookmarkStart w:id="124" w:name="_Toc228337080"/>
      <w:bookmarkStart w:id="125" w:name="_Toc228881143"/>
      <w:bookmarkStart w:id="126" w:name="_Toc302986176"/>
      <w:bookmarkStart w:id="127" w:name="_Toc214433869"/>
      <w:bookmarkStart w:id="128" w:name="_Toc227492226"/>
      <w:r>
        <w:rPr>
          <w:rFonts w:hint="eastAsia" w:ascii="宋体" w:hAnsi="宋体" w:cs="宋体"/>
          <w:color w:val="auto"/>
          <w:kern w:val="0"/>
          <w:szCs w:val="21"/>
          <w:highlight w:val="none"/>
        </w:rPr>
        <w:t>1.9 踏勘现场</w:t>
      </w:r>
      <w:bookmarkEnd w:id="118"/>
      <w:bookmarkEnd w:id="119"/>
      <w:bookmarkEnd w:id="120"/>
      <w:bookmarkEnd w:id="121"/>
      <w:bookmarkEnd w:id="122"/>
      <w:bookmarkEnd w:id="123"/>
      <w:bookmarkEnd w:id="124"/>
      <w:bookmarkEnd w:id="125"/>
      <w:bookmarkEnd w:id="126"/>
      <w:bookmarkEnd w:id="127"/>
      <w:bookmarkEnd w:id="128"/>
    </w:p>
    <w:p w14:paraId="2D88BBB5">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1.9.1 投标人须知前附表规定组织踏勘现场的，招标人按投标人须知前附表规定的时间、地点组织投标人踏勘项目现场。</w:t>
      </w:r>
    </w:p>
    <w:p w14:paraId="29A4936D">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1.9.2 投标人踏勘现场发生的费用自理。</w:t>
      </w:r>
    </w:p>
    <w:p w14:paraId="44C2902E">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1.9.3 除招标人的原因外，投标人自行负责在踏勘现场中所发生的人员伤亡和财产损失。</w:t>
      </w:r>
    </w:p>
    <w:p w14:paraId="397C9726">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1.9.4 招标人在踏勘现场中介绍的工程场地和相关的周边环境情况，供投标人在编制投标文件时参考，招标人不对投标人据此作出的判断和决策负责。</w:t>
      </w:r>
    </w:p>
    <w:p w14:paraId="41AA4DEC">
      <w:pPr>
        <w:autoSpaceDE w:val="0"/>
        <w:autoSpaceDN w:val="0"/>
        <w:adjustRightInd w:val="0"/>
        <w:spacing w:line="500" w:lineRule="exact"/>
        <w:ind w:firstLine="420" w:firstLineChars="200"/>
        <w:rPr>
          <w:rFonts w:hint="eastAsia" w:ascii="宋体" w:hAnsi="宋体" w:cs="宋体"/>
          <w:color w:val="auto"/>
          <w:kern w:val="0"/>
          <w:szCs w:val="21"/>
          <w:highlight w:val="none"/>
        </w:rPr>
      </w:pPr>
      <w:bookmarkStart w:id="129" w:name="_Toc228881146"/>
      <w:bookmarkStart w:id="130" w:name="_Toc228591642"/>
      <w:bookmarkStart w:id="131" w:name="_Toc302402684"/>
      <w:bookmarkStart w:id="132" w:name="_Toc228589148"/>
      <w:bookmarkStart w:id="133" w:name="_Toc228591494"/>
      <w:bookmarkStart w:id="134" w:name="_Toc227492229"/>
      <w:bookmarkStart w:id="135" w:name="_Toc228337083"/>
      <w:bookmarkStart w:id="136" w:name="_Toc302986179"/>
      <w:bookmarkStart w:id="137" w:name="_Toc227657472"/>
      <w:bookmarkStart w:id="138" w:name="_Toc286251835"/>
      <w:bookmarkStart w:id="139" w:name="_Toc214433872"/>
      <w:r>
        <w:rPr>
          <w:rFonts w:hint="eastAsia" w:ascii="宋体" w:hAnsi="宋体" w:cs="宋体"/>
          <w:color w:val="auto"/>
          <w:kern w:val="0"/>
          <w:szCs w:val="21"/>
          <w:highlight w:val="none"/>
        </w:rPr>
        <w:t>1.10 分包</w:t>
      </w:r>
    </w:p>
    <w:p w14:paraId="2828EEB0">
      <w:pPr>
        <w:autoSpaceDE w:val="0"/>
        <w:autoSpaceDN w:val="0"/>
        <w:adjustRightInd w:val="0"/>
        <w:spacing w:line="5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投标人拟在中标后将中标项目的部分非主体、非关键性工作进行分包的，应符合“投标人须知前附表”规定的分包内容、分包金额和接受分包的第三人资质要求等限制性条件。</w:t>
      </w:r>
    </w:p>
    <w:p w14:paraId="0E8552F3">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1.1</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 xml:space="preserve"> 偏离</w:t>
      </w:r>
      <w:bookmarkEnd w:id="129"/>
      <w:bookmarkEnd w:id="130"/>
      <w:bookmarkEnd w:id="131"/>
      <w:bookmarkEnd w:id="132"/>
      <w:bookmarkEnd w:id="133"/>
      <w:bookmarkEnd w:id="134"/>
      <w:bookmarkEnd w:id="135"/>
      <w:bookmarkEnd w:id="136"/>
      <w:bookmarkEnd w:id="137"/>
      <w:bookmarkEnd w:id="138"/>
      <w:bookmarkEnd w:id="139"/>
    </w:p>
    <w:p w14:paraId="431DB5CC">
      <w:pPr>
        <w:autoSpaceDE w:val="0"/>
        <w:autoSpaceDN w:val="0"/>
        <w:adjustRightInd w:val="0"/>
        <w:spacing w:line="50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投标人须知前附表允许投标文件偏离招标文件某些要求的，偏离应当符合招标文件规定的偏离范围和幅度。</w:t>
      </w:r>
    </w:p>
    <w:p w14:paraId="3B1B0260">
      <w:pPr>
        <w:pStyle w:val="22"/>
        <w:spacing w:line="500" w:lineRule="exact"/>
        <w:ind w:firstLine="422" w:firstLineChars="200"/>
        <w:jc w:val="both"/>
        <w:rPr>
          <w:rFonts w:hAnsi="宋体" w:cs="宋体"/>
          <w:b/>
          <w:bCs/>
          <w:color w:val="auto"/>
          <w:sz w:val="21"/>
          <w:szCs w:val="21"/>
          <w:highlight w:val="none"/>
        </w:rPr>
      </w:pPr>
      <w:bookmarkStart w:id="140" w:name="_Toc214433873"/>
      <w:bookmarkStart w:id="141" w:name="_Toc227657473"/>
      <w:bookmarkStart w:id="142" w:name="_Toc302986180"/>
      <w:bookmarkStart w:id="143" w:name="_Toc228589149"/>
      <w:bookmarkStart w:id="144" w:name="_Toc228337084"/>
      <w:bookmarkStart w:id="145" w:name="_Toc228591495"/>
      <w:bookmarkStart w:id="146" w:name="_Toc302402685"/>
      <w:bookmarkStart w:id="147" w:name="_Toc228881147"/>
      <w:bookmarkStart w:id="148" w:name="_Toc228591643"/>
      <w:bookmarkStart w:id="149" w:name="_Toc227492230"/>
      <w:r>
        <w:rPr>
          <w:rFonts w:hint="eastAsia" w:hAnsi="宋体" w:cs="宋体"/>
          <w:b/>
          <w:bCs/>
          <w:color w:val="auto"/>
          <w:sz w:val="21"/>
          <w:szCs w:val="21"/>
          <w:highlight w:val="none"/>
        </w:rPr>
        <w:t>2. 招标文件</w:t>
      </w:r>
      <w:bookmarkEnd w:id="140"/>
      <w:bookmarkEnd w:id="141"/>
      <w:bookmarkEnd w:id="142"/>
      <w:bookmarkEnd w:id="143"/>
      <w:bookmarkEnd w:id="144"/>
      <w:bookmarkEnd w:id="145"/>
      <w:bookmarkEnd w:id="146"/>
      <w:bookmarkEnd w:id="147"/>
      <w:bookmarkEnd w:id="148"/>
      <w:bookmarkEnd w:id="149"/>
    </w:p>
    <w:p w14:paraId="737405A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2.1 招标文件的组成</w:t>
      </w:r>
    </w:p>
    <w:p w14:paraId="0EB504A6">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本招标文件包括：</w:t>
      </w:r>
    </w:p>
    <w:p w14:paraId="71BE9640">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（1）招标公告；</w:t>
      </w:r>
    </w:p>
    <w:p w14:paraId="797F5CAD">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（2）投标人须知；</w:t>
      </w:r>
    </w:p>
    <w:p w14:paraId="03E8D61C">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（3）评标办法；</w:t>
      </w:r>
    </w:p>
    <w:p w14:paraId="54C23B07">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（4）合同条款及格式；</w:t>
      </w:r>
    </w:p>
    <w:p w14:paraId="37A7A5F2">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（5）工程量清单；</w:t>
      </w:r>
    </w:p>
    <w:p w14:paraId="287A8755">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图纸；</w:t>
      </w:r>
    </w:p>
    <w:p w14:paraId="029A1C1F">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）投标文件格式；</w:t>
      </w:r>
    </w:p>
    <w:p w14:paraId="010CD14C">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8</w:t>
      </w:r>
      <w:r>
        <w:rPr>
          <w:rFonts w:hint="eastAsia" w:ascii="宋体" w:hAnsi="宋体" w:cs="宋体"/>
          <w:color w:val="auto"/>
          <w:kern w:val="0"/>
          <w:szCs w:val="21"/>
          <w:highlight w:val="none"/>
        </w:rPr>
        <w:t>）投标人须知前附表规定的其他材料。</w:t>
      </w:r>
    </w:p>
    <w:p w14:paraId="4FB110EF">
      <w:pPr>
        <w:keepNext w:val="0"/>
        <w:keepLines w:val="0"/>
        <w:pageBreakBefore w:val="0"/>
        <w:tabs>
          <w:tab w:val="left" w:pos="1260"/>
        </w:tabs>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根据本章第2.2款和第2.3款对招标文件所作的澄清、修改，构成招标文件的组成部分。</w:t>
      </w:r>
    </w:p>
    <w:p w14:paraId="2EAA19A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 招标文件的澄清</w:t>
      </w:r>
    </w:p>
    <w:p w14:paraId="10A2221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w:t>
      </w:r>
    </w:p>
    <w:p w14:paraId="30AE4CD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2.2.2 招标文件的澄清将在投标人须知前附表规定的投标截止时间3天前以书面形式发给所有购买招标文件的投标人，但不指明澄清问题的来源。如果澄清发出的时间距投标截止时间不足5天，相应延长投标截止时间。</w:t>
      </w:r>
    </w:p>
    <w:p w14:paraId="35117B8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2.2.3 投标人在收到澄清后，应在投标人须知前附表规定的时间内以书面形式通知招标人，确认已收到该澄清。</w:t>
      </w:r>
    </w:p>
    <w:p w14:paraId="0817A35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 招标文件的修改</w:t>
      </w:r>
    </w:p>
    <w:p w14:paraId="737A619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2.3.1 在投标截止时间3天前，招标人可以书面形式修改招标文件，并通知所有已购买招标文件的投标人。如果修改招标文件的时间距投标截止时间不足3天，相应延长投标截止时间。</w:t>
      </w:r>
    </w:p>
    <w:p w14:paraId="0EBDBB4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2.3.2 投标人收到修改内容后，应在投标人须知前附表规定的时间内以书面形式通知招标人，确认已收到该修改。</w:t>
      </w:r>
    </w:p>
    <w:p w14:paraId="654B90C2">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3. 投标文件</w:t>
      </w:r>
    </w:p>
    <w:p w14:paraId="2BB2482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3.1 投标文件的组成</w:t>
      </w:r>
    </w:p>
    <w:p w14:paraId="1450563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3.1.1 投标文件应包括下列内容：</w:t>
      </w:r>
    </w:p>
    <w:p w14:paraId="530323D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投标函及投标函附录</w:t>
      </w:r>
      <w:r>
        <w:rPr>
          <w:rFonts w:hint="eastAsia" w:ascii="宋体" w:hAnsi="宋体" w:cs="宋体"/>
          <w:color w:val="auto"/>
          <w:kern w:val="0"/>
          <w:szCs w:val="21"/>
          <w:highlight w:val="none"/>
        </w:rPr>
        <w:t>；</w:t>
      </w:r>
    </w:p>
    <w:p w14:paraId="0A893F7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（2）法定代表人身份证明；</w:t>
      </w:r>
    </w:p>
    <w:p w14:paraId="4D64813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（3）附有法定代表人身份证明的授权委托书及委托人身份证；</w:t>
      </w:r>
    </w:p>
    <w:p w14:paraId="1AF37BB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（4）投标保证金；</w:t>
      </w:r>
    </w:p>
    <w:p w14:paraId="1666B6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）资格审查资料；</w:t>
      </w:r>
    </w:p>
    <w:p w14:paraId="0A05BE8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）已标价工程量清单</w:t>
      </w:r>
      <w:r>
        <w:rPr>
          <w:rFonts w:hint="eastAsia" w:ascii="宋体" w:hAnsi="宋体" w:cs="宋体"/>
          <w:color w:val="auto"/>
          <w:kern w:val="0"/>
          <w:szCs w:val="21"/>
          <w:highlight w:val="none"/>
          <w:lang w:eastAsia="zh-CN"/>
        </w:rPr>
        <w:t>。</w:t>
      </w:r>
    </w:p>
    <w:p w14:paraId="62201F1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 投标报价</w:t>
      </w:r>
    </w:p>
    <w:p w14:paraId="682D73B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3.2.1</w:t>
      </w:r>
      <w:r>
        <w:rPr>
          <w:rFonts w:hint="eastAsia" w:ascii="宋体" w:hAnsi="宋体" w:cs="宋体"/>
          <w:color w:val="auto"/>
          <w:kern w:val="0"/>
          <w:szCs w:val="21"/>
          <w:highlight w:val="none"/>
          <w:lang w:val="en-US" w:eastAsia="zh-CN"/>
        </w:rPr>
        <w:t>本工程由招标人提供书面工程量清单，由投标人按照招标人提供的工程量清单填写本项目各工程子目的单价、合价和总额价。除投标人须知前附表另有规定外，按一般计税方法计算。</w:t>
      </w:r>
    </w:p>
    <w:p w14:paraId="27BA481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3.2.2 投标人在投标截止时间前修改投标函中的投标总报价，应同时修改第五章“工程量清单”中的相应报价。此修改须符合本章第</w:t>
      </w:r>
      <w:r>
        <w:rPr>
          <w:rFonts w:hint="eastAsia" w:ascii="宋体" w:hAnsi="宋体" w:cs="宋体"/>
          <w:color w:val="auto"/>
          <w:kern w:val="0"/>
          <w:szCs w:val="21"/>
          <w:highlight w:val="none"/>
          <w:lang w:val="en-US" w:eastAsia="zh-CN"/>
        </w:rPr>
        <w:t>3.6</w:t>
      </w:r>
      <w:r>
        <w:rPr>
          <w:rFonts w:hint="eastAsia" w:ascii="宋体" w:hAnsi="宋体" w:cs="宋体"/>
          <w:color w:val="auto"/>
          <w:kern w:val="0"/>
          <w:szCs w:val="21"/>
          <w:highlight w:val="none"/>
        </w:rPr>
        <w:t>款的有关要求。</w:t>
      </w:r>
    </w:p>
    <w:p w14:paraId="0F1A069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default" w:ascii="宋体" w:hAnsi="宋体" w:cs="宋体"/>
          <w:color w:val="auto"/>
          <w:kern w:val="0"/>
          <w:szCs w:val="21"/>
          <w:highlight w:val="none"/>
          <w:lang w:val="en-US"/>
        </w:rPr>
      </w:pPr>
      <w:r>
        <w:rPr>
          <w:rFonts w:hint="eastAsia" w:ascii="宋体" w:hAnsi="宋体" w:cs="宋体"/>
          <w:b/>
          <w:bCs/>
          <w:color w:val="auto"/>
          <w:kern w:val="0"/>
          <w:szCs w:val="21"/>
          <w:highlight w:val="none"/>
        </w:rPr>
        <w:t xml:space="preserve">3.2.3 </w:t>
      </w:r>
      <w:r>
        <w:rPr>
          <w:rFonts w:hint="eastAsia" w:ascii="宋体" w:hAnsi="宋体" w:cs="宋体"/>
          <w:color w:val="auto"/>
          <w:kern w:val="0"/>
          <w:szCs w:val="21"/>
          <w:highlight w:val="none"/>
        </w:rPr>
        <w:t>投标人应充分了解施工场地的位置、周边环境、道路、装卸、保管、安装限制以及影响投标报价的其他要素。投标人根据拟实施的施工组织设计，结合市场情况进行投标报价。投标报价包括为实施和完成合同工程所需的人工费、材料费</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全部主材和辅材</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、机械费、管理费、利润、措施费、规费、税费、保修费、风险费</w:t>
      </w:r>
      <w:r>
        <w:rPr>
          <w:rFonts w:hint="eastAsia" w:ascii="宋体" w:hAnsi="宋体" w:cs="宋体"/>
          <w:color w:val="auto"/>
          <w:kern w:val="0"/>
          <w:szCs w:val="21"/>
          <w:highlight w:val="none"/>
          <w:lang w:eastAsia="zh-CN"/>
        </w:rPr>
        <w:t>、</w:t>
      </w:r>
      <w:r>
        <w:rPr>
          <w:rFonts w:hint="eastAsia" w:ascii="宋体" w:hAnsi="宋体" w:cs="宋体"/>
          <w:b/>
          <w:bCs/>
          <w:color w:val="auto"/>
          <w:kern w:val="0"/>
          <w:szCs w:val="21"/>
          <w:highlight w:val="none"/>
          <w:lang w:val="en-US" w:eastAsia="zh-CN"/>
        </w:rPr>
        <w:t>公证费</w:t>
      </w:r>
      <w:r>
        <w:rPr>
          <w:rFonts w:hint="eastAsia" w:ascii="宋体" w:hAnsi="宋体" w:cs="宋体"/>
          <w:color w:val="auto"/>
          <w:kern w:val="0"/>
          <w:szCs w:val="21"/>
          <w:highlight w:val="none"/>
        </w:rPr>
        <w:t>等一切费用。</w:t>
      </w:r>
    </w:p>
    <w:p w14:paraId="0BD2D2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3.2.</w:t>
      </w:r>
      <w:r>
        <w:rPr>
          <w:rFonts w:hint="eastAsia" w:ascii="宋体" w:hAnsi="宋体" w:cs="宋体"/>
          <w:b/>
          <w:bCs/>
          <w:color w:val="auto"/>
          <w:kern w:val="0"/>
          <w:szCs w:val="21"/>
          <w:highlight w:val="none"/>
          <w:lang w:val="en-US" w:eastAsia="zh-CN"/>
        </w:rPr>
        <w:t>4</w:t>
      </w:r>
      <w:r>
        <w:rPr>
          <w:rFonts w:hint="eastAsia" w:ascii="宋体" w:hAnsi="宋体" w:cs="宋体"/>
          <w:b/>
          <w:bCs/>
          <w:color w:val="auto"/>
          <w:kern w:val="0"/>
          <w:szCs w:val="21"/>
          <w:highlight w:val="none"/>
        </w:rPr>
        <w:t xml:space="preserve"> 本项目</w:t>
      </w:r>
      <w:r>
        <w:rPr>
          <w:rFonts w:hint="eastAsia" w:ascii="宋体" w:hAnsi="宋体" w:cs="宋体"/>
          <w:b/>
          <w:bCs/>
          <w:color w:val="auto"/>
          <w:kern w:val="0"/>
          <w:szCs w:val="21"/>
          <w:highlight w:val="none"/>
          <w:lang w:val="en-US" w:eastAsia="zh-CN"/>
        </w:rPr>
        <w:t>公证</w:t>
      </w:r>
      <w:r>
        <w:rPr>
          <w:rFonts w:hint="eastAsia" w:ascii="宋体" w:hAnsi="宋体" w:cs="宋体"/>
          <w:b/>
          <w:bCs/>
          <w:color w:val="auto"/>
          <w:kern w:val="0"/>
          <w:szCs w:val="21"/>
          <w:highlight w:val="none"/>
        </w:rPr>
        <w:t>费包括在投标报价中但不得单独列项，由</w:t>
      </w:r>
      <w:r>
        <w:rPr>
          <w:rFonts w:hint="eastAsia" w:ascii="宋体" w:hAnsi="宋体" w:cs="宋体"/>
          <w:b/>
          <w:bCs/>
          <w:color w:val="auto"/>
          <w:kern w:val="0"/>
          <w:szCs w:val="21"/>
          <w:highlight w:val="none"/>
          <w:lang w:val="en-US" w:eastAsia="zh-CN"/>
        </w:rPr>
        <w:t>中标人</w:t>
      </w:r>
      <w:r>
        <w:rPr>
          <w:rFonts w:hint="eastAsia" w:ascii="宋体" w:hAnsi="宋体" w:cs="宋体"/>
          <w:b/>
          <w:bCs/>
          <w:color w:val="auto"/>
          <w:kern w:val="0"/>
          <w:szCs w:val="21"/>
          <w:highlight w:val="none"/>
        </w:rPr>
        <w:t>领取</w:t>
      </w:r>
      <w:r>
        <w:rPr>
          <w:rFonts w:hint="eastAsia" w:ascii="宋体" w:hAnsi="宋体" w:cs="宋体"/>
          <w:b/>
          <w:bCs/>
          <w:color w:val="auto"/>
          <w:kern w:val="0"/>
          <w:szCs w:val="21"/>
          <w:highlight w:val="none"/>
          <w:lang w:val="en-US" w:eastAsia="zh-CN"/>
        </w:rPr>
        <w:t>中标</w:t>
      </w:r>
      <w:r>
        <w:rPr>
          <w:rFonts w:hint="eastAsia" w:ascii="宋体" w:hAnsi="宋体" w:cs="宋体"/>
          <w:b/>
          <w:bCs/>
          <w:color w:val="auto"/>
          <w:kern w:val="0"/>
          <w:szCs w:val="21"/>
          <w:highlight w:val="none"/>
        </w:rPr>
        <w:t>通知书时支付给公证处。</w:t>
      </w:r>
    </w:p>
    <w:p w14:paraId="41B6BD81">
      <w:pPr>
        <w:widowControl w:val="0"/>
        <w:spacing w:before="58" w:beforeLines="20" w:after="58" w:afterLines="20" w:line="420" w:lineRule="exact"/>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公证费收费标准：</w:t>
      </w:r>
    </w:p>
    <w:tbl>
      <w:tblPr>
        <w:tblStyle w:val="1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2"/>
        <w:gridCol w:w="4892"/>
      </w:tblGrid>
      <w:tr w14:paraId="5D1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0862E64D">
            <w:pPr>
              <w:widowControl w:val="0"/>
              <w:spacing w:before="58" w:beforeLines="20" w:after="58" w:afterLines="20" w:line="42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中标金额（万元）</w:t>
            </w:r>
          </w:p>
        </w:tc>
        <w:tc>
          <w:tcPr>
            <w:tcW w:w="4412" w:type="dxa"/>
            <w:noWrap w:val="0"/>
            <w:vAlign w:val="center"/>
          </w:tcPr>
          <w:p w14:paraId="456BF6D4">
            <w:pPr>
              <w:widowControl w:val="0"/>
              <w:spacing w:before="58" w:beforeLines="20" w:after="58" w:afterLines="20" w:line="420" w:lineRule="exact"/>
              <w:ind w:firstLine="0" w:firstLineChars="0"/>
              <w:jc w:val="center"/>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收费标准</w:t>
            </w:r>
          </w:p>
        </w:tc>
      </w:tr>
      <w:tr w14:paraId="1BE0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6379380B">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50以下</w:t>
            </w:r>
          </w:p>
        </w:tc>
        <w:tc>
          <w:tcPr>
            <w:tcW w:w="4412" w:type="dxa"/>
            <w:noWrap w:val="0"/>
            <w:vAlign w:val="center"/>
          </w:tcPr>
          <w:p w14:paraId="09EE41C7">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300元</w:t>
            </w:r>
          </w:p>
        </w:tc>
      </w:tr>
      <w:tr w14:paraId="12D1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61BA6A04">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50-200</w:t>
            </w:r>
          </w:p>
        </w:tc>
        <w:tc>
          <w:tcPr>
            <w:tcW w:w="4412" w:type="dxa"/>
            <w:noWrap w:val="0"/>
            <w:vAlign w:val="center"/>
          </w:tcPr>
          <w:p w14:paraId="6FC696B3">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500元</w:t>
            </w:r>
          </w:p>
        </w:tc>
      </w:tr>
      <w:tr w14:paraId="47D1B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14" w:type="dxa"/>
            <w:noWrap w:val="0"/>
            <w:vAlign w:val="center"/>
          </w:tcPr>
          <w:p w14:paraId="08B979C7">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200以上</w:t>
            </w:r>
          </w:p>
        </w:tc>
        <w:tc>
          <w:tcPr>
            <w:tcW w:w="4412" w:type="dxa"/>
            <w:noWrap w:val="0"/>
            <w:vAlign w:val="center"/>
          </w:tcPr>
          <w:p w14:paraId="6412A84F">
            <w:pPr>
              <w:widowControl w:val="0"/>
              <w:spacing w:before="58" w:beforeLines="20" w:after="58" w:afterLines="20" w:line="420" w:lineRule="exact"/>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中标金额*万分之四，最高3000元</w:t>
            </w:r>
          </w:p>
        </w:tc>
      </w:tr>
    </w:tbl>
    <w:p w14:paraId="7C4CB31C">
      <w:pPr>
        <w:pStyle w:val="18"/>
        <w:spacing w:before="0" w:after="0" w:line="240" w:lineRule="auto"/>
        <w:ind w:left="0" w:leftChars="0" w:firstLine="0" w:firstLineChars="0"/>
        <w:rPr>
          <w:color w:val="auto"/>
          <w:highlight w:val="none"/>
        </w:rPr>
      </w:pPr>
    </w:p>
    <w:p w14:paraId="5E699CD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 投标有效期</w:t>
      </w:r>
    </w:p>
    <w:p w14:paraId="382F596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3.3.1 在投标人须知前附表规定的投标有效期内，投标人不得要求撤销或修改其投标文件。</w:t>
      </w:r>
    </w:p>
    <w:p w14:paraId="0C08F3F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0CD6212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投标保证金</w:t>
      </w:r>
    </w:p>
    <w:p w14:paraId="5B82B8C6">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3.4.1 投标保证金必须在报名截止时间前，将保证金从投标人本单位企业银行基本存款账户上直接转（汇）至招标人指定账户（缴纳投标保证金账户以缴费通知单的账户为准）。请各投标人充分考虑保证金在银行之间划转时间，建议提前转（汇），否则无效。</w:t>
      </w:r>
    </w:p>
    <w:p w14:paraId="547E272C">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开户名称：响水县农村产权交易服务中心</w:t>
      </w:r>
    </w:p>
    <w:p w14:paraId="7B5C7522">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snapToGrid w:val="0"/>
        <w:spacing w:beforeAutospacing="0" w:afterAutospacing="0" w:line="500" w:lineRule="exact"/>
        <w:ind w:left="0" w:leftChars="0" w:right="0" w:rightChars="0" w:firstLine="42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开 户 行：江苏银行响水支行</w:t>
      </w:r>
    </w:p>
    <w:p w14:paraId="52E8D46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保证金可采用转账、电汇的方式，保证金汇出单位应与投标单位名称完全一致。</w:t>
      </w:r>
    </w:p>
    <w:p w14:paraId="67FED94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以个人、企业的办事处、分公司、子公司、公司其他账户名义或从他人账户缴纳的保证金无效。</w:t>
      </w:r>
    </w:p>
    <w:p w14:paraId="1605570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采用转账或电汇方式缴纳保证金的，必须在投标文件递交截止时间前款项已划入到招标人指定的银行账户，请各投标人充分考虑保证金在银行之间划转时间，建议提前转（汇），否则无效。</w:t>
      </w:r>
    </w:p>
    <w:p w14:paraId="56377C5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 xml:space="preserve">2 </w:t>
      </w:r>
      <w:r>
        <w:rPr>
          <w:rFonts w:hint="eastAsia" w:ascii="宋体" w:hAnsi="宋体" w:cs="宋体"/>
          <w:color w:val="auto"/>
          <w:kern w:val="0"/>
          <w:szCs w:val="21"/>
          <w:highlight w:val="none"/>
        </w:rPr>
        <w:t>保证金退还</w:t>
      </w:r>
    </w:p>
    <w:p w14:paraId="2D5CD65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.1保证金的退还，以电汇的方式退还至投标人转（汇）出投标保证金的同一账户。</w:t>
      </w:r>
    </w:p>
    <w:p w14:paraId="6DBD8B1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.2未中标人的保证金在</w:t>
      </w:r>
      <w:r>
        <w:rPr>
          <w:rFonts w:hint="eastAsia" w:ascii="宋体" w:hAnsi="宋体" w:cs="宋体"/>
          <w:color w:val="auto"/>
          <w:kern w:val="0"/>
          <w:szCs w:val="21"/>
          <w:highlight w:val="none"/>
          <w:lang w:val="en-US" w:eastAsia="zh-CN"/>
        </w:rPr>
        <w:t>中标结果公告期满后</w:t>
      </w:r>
      <w:r>
        <w:rPr>
          <w:rFonts w:hint="eastAsia" w:ascii="宋体" w:hAnsi="宋体" w:cs="宋体"/>
          <w:color w:val="auto"/>
          <w:kern w:val="0"/>
          <w:szCs w:val="21"/>
          <w:highlight w:val="none"/>
        </w:rPr>
        <w:t>退还。</w:t>
      </w:r>
    </w:p>
    <w:p w14:paraId="37D10D6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3.4.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.3投标保证金不予退还的规定</w:t>
      </w:r>
      <w:r>
        <w:rPr>
          <w:rFonts w:hint="eastAsia" w:ascii="宋体" w:hAnsi="宋体" w:cs="宋体"/>
          <w:color w:val="auto"/>
          <w:kern w:val="0"/>
          <w:szCs w:val="21"/>
          <w:highlight w:val="none"/>
          <w:lang w:eastAsia="zh-CN"/>
        </w:rPr>
        <w:t>：</w:t>
      </w:r>
    </w:p>
    <w:p w14:paraId="5348DE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投标截止后投标人撤销投标文件的，招标人可以不退还投标保证金。</w:t>
      </w:r>
    </w:p>
    <w:p w14:paraId="357109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中标人无正当理由不与招标人订立合同，在签订合同时向招标人提出附加条件，或者不按其中照招标文件要求提交履约保证金的，取消其中标资格，投标保证金不予退还。</w:t>
      </w:r>
    </w:p>
    <w:p w14:paraId="491ECE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3.5 资格审查资料</w:t>
      </w:r>
    </w:p>
    <w:p w14:paraId="2F35C12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1、企业法人营业执照；</w:t>
      </w:r>
    </w:p>
    <w:p w14:paraId="06949E0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2、企业资质证书副本；</w:t>
      </w:r>
    </w:p>
    <w:p w14:paraId="647B1F3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3、企业安全生产许可证副本；</w:t>
      </w:r>
    </w:p>
    <w:p w14:paraId="3C2E19A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4、项目经理建造师注册证书；</w:t>
      </w:r>
    </w:p>
    <w:p w14:paraId="44A4B1F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5、项目经理B类安全生产考核合格证；</w:t>
      </w:r>
    </w:p>
    <w:p w14:paraId="2DD79E4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6、企业银行基本开户许可证</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或企业银行基本存款账户开户基本信息）加盖投标人单位公章</w:t>
      </w:r>
      <w:r>
        <w:rPr>
          <w:rFonts w:hint="eastAsia" w:ascii="宋体" w:hAnsi="宋体" w:cs="宋体"/>
          <w:color w:val="auto"/>
          <w:kern w:val="0"/>
          <w:szCs w:val="21"/>
          <w:highlight w:val="none"/>
        </w:rPr>
        <w:t>；</w:t>
      </w:r>
    </w:p>
    <w:p w14:paraId="70B368C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color w:val="auto"/>
          <w:kern w:val="0"/>
          <w:szCs w:val="21"/>
          <w:highlight w:val="none"/>
        </w:rPr>
      </w:pPr>
      <w:r>
        <w:rPr>
          <w:rFonts w:hint="eastAsia" w:ascii="宋体" w:hAnsi="宋体" w:cs="宋体"/>
          <w:b/>
          <w:bCs/>
          <w:color w:val="auto"/>
          <w:kern w:val="0"/>
          <w:szCs w:val="21"/>
          <w:highlight w:val="none"/>
        </w:rPr>
        <w:t>上述材料复印件加盖公章，</w:t>
      </w:r>
      <w:r>
        <w:rPr>
          <w:rFonts w:hint="eastAsia" w:ascii="宋体" w:hAnsi="宋体" w:cs="宋体"/>
          <w:b/>
          <w:bCs/>
          <w:color w:val="auto"/>
          <w:kern w:val="0"/>
          <w:szCs w:val="21"/>
          <w:highlight w:val="none"/>
          <w:lang w:eastAsia="zh-CN"/>
        </w:rPr>
        <w:t>不需要提供</w:t>
      </w:r>
      <w:r>
        <w:rPr>
          <w:rFonts w:hint="eastAsia" w:ascii="宋体" w:hAnsi="宋体" w:cs="宋体"/>
          <w:b/>
          <w:bCs/>
          <w:color w:val="auto"/>
          <w:kern w:val="0"/>
          <w:szCs w:val="21"/>
          <w:highlight w:val="none"/>
        </w:rPr>
        <w:t>原件。</w:t>
      </w:r>
    </w:p>
    <w:p w14:paraId="21343DC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3.6</w:t>
      </w:r>
      <w:r>
        <w:rPr>
          <w:rFonts w:hint="eastAsia" w:ascii="宋体" w:hAnsi="宋体" w:cs="宋体"/>
          <w:color w:val="auto"/>
          <w:kern w:val="0"/>
          <w:szCs w:val="21"/>
          <w:highlight w:val="none"/>
          <w:lang w:val="en-US" w:eastAsia="zh-CN"/>
        </w:rPr>
        <w:t xml:space="preserve"> </w:t>
      </w:r>
      <w:r>
        <w:rPr>
          <w:rFonts w:hint="eastAsia" w:ascii="宋体" w:hAnsi="宋体" w:cs="宋体"/>
          <w:color w:val="auto"/>
          <w:kern w:val="0"/>
          <w:szCs w:val="21"/>
          <w:highlight w:val="none"/>
        </w:rPr>
        <w:t>投标文件的编制</w:t>
      </w:r>
    </w:p>
    <w:p w14:paraId="32BE545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3.6.1 投标文件应按</w:t>
      </w:r>
      <w:r>
        <w:rPr>
          <w:rFonts w:hint="eastAsia" w:ascii="宋体" w:hAnsi="宋体" w:cs="宋体"/>
          <w:color w:val="auto"/>
          <w:kern w:val="0"/>
          <w:szCs w:val="21"/>
          <w:highlight w:val="none"/>
          <w:lang w:eastAsia="zh-CN"/>
        </w:rPr>
        <w:t>第</w:t>
      </w:r>
      <w:r>
        <w:rPr>
          <w:rFonts w:hint="eastAsia" w:ascii="宋体" w:hAnsi="宋体" w:cs="宋体"/>
          <w:color w:val="auto"/>
          <w:kern w:val="0"/>
          <w:szCs w:val="21"/>
          <w:highlight w:val="none"/>
          <w:lang w:val="en-US" w:eastAsia="zh-CN"/>
        </w:rPr>
        <w:t>六</w:t>
      </w:r>
      <w:r>
        <w:rPr>
          <w:rFonts w:hint="eastAsia" w:ascii="宋体" w:hAnsi="宋体" w:cs="宋体"/>
          <w:color w:val="auto"/>
          <w:kern w:val="0"/>
          <w:szCs w:val="21"/>
          <w:highlight w:val="none"/>
          <w:lang w:eastAsia="zh-CN"/>
        </w:rPr>
        <w:t>章</w:t>
      </w:r>
      <w:r>
        <w:rPr>
          <w:rFonts w:hint="eastAsia" w:ascii="宋体" w:hAnsi="宋体" w:cs="宋体"/>
          <w:color w:val="auto"/>
          <w:kern w:val="0"/>
          <w:szCs w:val="21"/>
          <w:highlight w:val="none"/>
        </w:rPr>
        <w:t>“投标文件格式”进行编写，如有必要，可以增加附页，作为投标文件的组成部分。投标函在满足招标文件实质性要求的基础上，可以提出比招标文件要求更有利于招标人的承诺。</w:t>
      </w:r>
    </w:p>
    <w:p w14:paraId="2D3BC28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color w:val="auto"/>
          <w:kern w:val="0"/>
          <w:szCs w:val="21"/>
          <w:highlight w:val="none"/>
        </w:rPr>
      </w:pPr>
      <w:r>
        <w:rPr>
          <w:rFonts w:hint="eastAsia" w:ascii="宋体" w:hAnsi="宋体" w:cs="宋体"/>
          <w:b/>
          <w:bCs/>
          <w:color w:val="auto"/>
          <w:kern w:val="0"/>
          <w:szCs w:val="21"/>
          <w:highlight w:val="none"/>
        </w:rPr>
        <w:t xml:space="preserve">3.6.2 </w:t>
      </w:r>
      <w:r>
        <w:rPr>
          <w:rFonts w:hint="eastAsia" w:ascii="宋体" w:hAnsi="宋体" w:cs="宋体"/>
          <w:b/>
          <w:color w:val="auto"/>
          <w:kern w:val="0"/>
          <w:szCs w:val="21"/>
          <w:highlight w:val="none"/>
        </w:rPr>
        <w:t>投标文件应当对招标文件有关工期、投标有效期、质量要求、技术标准和要求、招标范围等实质性内容作出</w:t>
      </w:r>
      <w:r>
        <w:rPr>
          <w:rFonts w:hint="eastAsia" w:ascii="宋体" w:hAnsi="宋体" w:cs="宋体"/>
          <w:b/>
          <w:color w:val="auto"/>
          <w:kern w:val="0"/>
          <w:szCs w:val="21"/>
          <w:highlight w:val="none"/>
          <w:lang w:eastAsia="zh-CN"/>
        </w:rPr>
        <w:t>投标</w:t>
      </w:r>
      <w:r>
        <w:rPr>
          <w:rFonts w:hint="eastAsia" w:ascii="宋体" w:hAnsi="宋体" w:cs="宋体"/>
          <w:b/>
          <w:color w:val="auto"/>
          <w:kern w:val="0"/>
          <w:szCs w:val="21"/>
          <w:highlight w:val="none"/>
        </w:rPr>
        <w:t>。</w:t>
      </w:r>
    </w:p>
    <w:p w14:paraId="486D609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 xml:space="preserve">3.6.3 </w:t>
      </w:r>
      <w:r>
        <w:rPr>
          <w:rFonts w:hint="eastAsia" w:ascii="宋体" w:hAnsi="宋体" w:cs="宋体"/>
          <w:b/>
          <w:bCs/>
          <w:color w:val="auto"/>
          <w:kern w:val="0"/>
          <w:szCs w:val="21"/>
          <w:highlight w:val="none"/>
          <w:lang w:val="en-US" w:eastAsia="zh-CN"/>
        </w:rPr>
        <w:t>投标人</w:t>
      </w:r>
      <w:r>
        <w:rPr>
          <w:rFonts w:hint="eastAsia" w:ascii="宋体" w:hAnsi="宋体" w:cs="宋体"/>
          <w:b/>
          <w:bCs/>
          <w:color w:val="auto"/>
          <w:kern w:val="0"/>
          <w:szCs w:val="21"/>
          <w:highlight w:val="none"/>
        </w:rPr>
        <w:t>按要求签字盖章后生成PDF文档（PDF文档须清晰可辨，如因不清晰导致评标委员会无法评审，将被作为无效投标处理），使用压缩软件加密后发送至</w:t>
      </w:r>
      <w:r>
        <w:rPr>
          <w:rFonts w:hint="eastAsia" w:ascii="宋体" w:hAnsi="宋体" w:cs="宋体"/>
          <w:b/>
          <w:bCs/>
          <w:color w:val="auto"/>
          <w:kern w:val="0"/>
          <w:szCs w:val="21"/>
          <w:highlight w:val="none"/>
          <w:lang w:eastAsia="zh-CN"/>
        </w:rPr>
        <w:t>招标人</w:t>
      </w:r>
      <w:r>
        <w:rPr>
          <w:rFonts w:hint="eastAsia" w:ascii="宋体" w:hAnsi="宋体" w:cs="宋体"/>
          <w:b/>
          <w:bCs/>
          <w:color w:val="auto"/>
          <w:kern w:val="0"/>
          <w:szCs w:val="21"/>
          <w:highlight w:val="none"/>
        </w:rPr>
        <w:t>指定的邮箱，压缩包里面有且仅有一个文件。压缩包文件名为本</w:t>
      </w:r>
      <w:r>
        <w:rPr>
          <w:rFonts w:hint="eastAsia" w:ascii="宋体" w:hAnsi="宋体" w:cs="宋体"/>
          <w:b/>
          <w:bCs/>
          <w:color w:val="auto"/>
          <w:kern w:val="0"/>
          <w:szCs w:val="21"/>
          <w:highlight w:val="none"/>
          <w:lang w:val="en-US" w:eastAsia="zh-CN"/>
        </w:rPr>
        <w:t>招标</w:t>
      </w:r>
      <w:r>
        <w:rPr>
          <w:rFonts w:hint="eastAsia" w:ascii="宋体" w:hAnsi="宋体" w:cs="宋体"/>
          <w:b/>
          <w:bCs/>
          <w:color w:val="auto"/>
          <w:kern w:val="0"/>
          <w:szCs w:val="21"/>
          <w:highlight w:val="none"/>
        </w:rPr>
        <w:t>项目名称，邮箱发送主题与压缩包须标明“</w:t>
      </w:r>
      <w:r>
        <w:rPr>
          <w:rFonts w:hint="eastAsia" w:ascii="宋体" w:hAnsi="宋体" w:cs="宋体"/>
          <w:b/>
          <w:bCs/>
          <w:color w:val="auto"/>
          <w:kern w:val="0"/>
          <w:szCs w:val="21"/>
          <w:highlight w:val="none"/>
          <w:lang w:eastAsia="zh-CN"/>
        </w:rPr>
        <w:t>响水县大有镇康庄村“学前路到东直河堆路”改造工程</w:t>
      </w:r>
      <w:r>
        <w:rPr>
          <w:rFonts w:hint="eastAsia" w:ascii="宋体" w:hAnsi="宋体" w:cs="宋体"/>
          <w:b/>
          <w:bCs/>
          <w:color w:val="auto"/>
          <w:kern w:val="0"/>
          <w:szCs w:val="21"/>
          <w:highlight w:val="none"/>
          <w:lang w:val="en-US" w:eastAsia="zh-CN"/>
        </w:rPr>
        <w:t>投标</w:t>
      </w:r>
      <w:r>
        <w:rPr>
          <w:rFonts w:hint="eastAsia" w:ascii="宋体" w:hAnsi="宋体" w:cs="宋体"/>
          <w:b/>
          <w:bCs/>
          <w:color w:val="auto"/>
          <w:kern w:val="0"/>
          <w:szCs w:val="21"/>
          <w:highlight w:val="none"/>
        </w:rPr>
        <w:t>文件”字样，PDF文件名称须标明“单位名称+</w:t>
      </w:r>
      <w:r>
        <w:rPr>
          <w:rFonts w:hint="eastAsia" w:ascii="宋体" w:hAnsi="宋体" w:cs="宋体"/>
          <w:b/>
          <w:bCs/>
          <w:color w:val="auto"/>
          <w:kern w:val="0"/>
          <w:szCs w:val="21"/>
          <w:highlight w:val="none"/>
          <w:lang w:eastAsia="zh-CN"/>
        </w:rPr>
        <w:t>响水县大有镇康庄村“学前路到东直河堆路”改造工程</w:t>
      </w:r>
      <w:r>
        <w:rPr>
          <w:rFonts w:hint="eastAsia" w:ascii="宋体" w:hAnsi="宋体" w:cs="宋体"/>
          <w:b/>
          <w:bCs/>
          <w:color w:val="auto"/>
          <w:kern w:val="0"/>
          <w:szCs w:val="21"/>
          <w:highlight w:val="none"/>
          <w:lang w:val="en-US" w:eastAsia="zh-CN"/>
        </w:rPr>
        <w:t>投标</w:t>
      </w:r>
      <w:r>
        <w:rPr>
          <w:rFonts w:hint="eastAsia" w:ascii="宋体" w:hAnsi="宋体" w:cs="宋体"/>
          <w:b/>
          <w:bCs/>
          <w:color w:val="auto"/>
          <w:kern w:val="0"/>
          <w:szCs w:val="21"/>
          <w:highlight w:val="none"/>
        </w:rPr>
        <w:t>文件”。开标现场只需解密一次，未按以上要求制作投标文件的作无效标书处理</w:t>
      </w:r>
      <w:r>
        <w:rPr>
          <w:rFonts w:hint="eastAsia" w:ascii="宋体" w:hAnsi="宋体" w:cs="宋体"/>
          <w:b/>
          <w:bCs/>
          <w:color w:val="auto"/>
          <w:kern w:val="0"/>
          <w:szCs w:val="21"/>
          <w:highlight w:val="none"/>
          <w:lang w:eastAsia="zh-CN"/>
        </w:rPr>
        <w:t>。</w:t>
      </w:r>
    </w:p>
    <w:p w14:paraId="78673753">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3.7 备选投标方案</w:t>
      </w:r>
    </w:p>
    <w:p w14:paraId="58C4A82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7BA3B7AB">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4. 投标</w:t>
      </w:r>
    </w:p>
    <w:p w14:paraId="3C9AA7F9">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4.1 投标文件的递交</w:t>
      </w:r>
    </w:p>
    <w:p w14:paraId="60346F4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.1 投标截止时间：见投标人须知前附表。</w:t>
      </w:r>
    </w:p>
    <w:p w14:paraId="0075DA9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.2 投标人递交投标文件的地点：见投标人须知前附表。</w:t>
      </w:r>
    </w:p>
    <w:p w14:paraId="5DF378A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1</w:t>
      </w:r>
      <w:r>
        <w:rPr>
          <w:rFonts w:hint="eastAsia" w:ascii="宋体" w:hAnsi="宋体" w:cs="宋体"/>
          <w:color w:val="auto"/>
          <w:kern w:val="0"/>
          <w:szCs w:val="21"/>
          <w:highlight w:val="none"/>
        </w:rPr>
        <w:t>.3 各</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必须在</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截止时间前发送加密的</w:t>
      </w:r>
      <w:r>
        <w:rPr>
          <w:rFonts w:hint="eastAsia" w:ascii="宋体" w:hAnsi="宋体" w:cs="宋体"/>
          <w:color w:val="auto"/>
          <w:kern w:val="0"/>
          <w:szCs w:val="21"/>
          <w:highlight w:val="none"/>
          <w:lang w:val="en-US" w:eastAsia="zh-CN"/>
        </w:rPr>
        <w:t>投标</w:t>
      </w:r>
      <w:r>
        <w:rPr>
          <w:rFonts w:hint="eastAsia" w:ascii="宋体" w:hAnsi="宋体" w:cs="宋体"/>
          <w:color w:val="auto"/>
          <w:kern w:val="0"/>
          <w:szCs w:val="21"/>
          <w:highlight w:val="none"/>
        </w:rPr>
        <w:t>文件至</w:t>
      </w:r>
      <w:r>
        <w:rPr>
          <w:rFonts w:hint="eastAsia" w:ascii="宋体" w:hAnsi="宋体" w:cs="宋体"/>
          <w:color w:val="auto"/>
          <w:kern w:val="0"/>
          <w:szCs w:val="21"/>
          <w:highlight w:val="none"/>
          <w:lang w:val="en-US" w:eastAsia="zh-CN"/>
        </w:rPr>
        <w:t>招标</w:t>
      </w:r>
      <w:r>
        <w:rPr>
          <w:rFonts w:hint="eastAsia" w:ascii="宋体" w:hAnsi="宋体" w:cs="宋体"/>
          <w:color w:val="auto"/>
          <w:kern w:val="0"/>
          <w:szCs w:val="21"/>
          <w:highlight w:val="none"/>
        </w:rPr>
        <w:t>人指定的邮箱（</w:t>
      </w:r>
      <w:r>
        <w:rPr>
          <w:rFonts w:hint="eastAsia" w:ascii="宋体" w:hAnsi="宋体" w:cs="宋体"/>
          <w:color w:val="auto"/>
          <w:kern w:val="0"/>
          <w:szCs w:val="21"/>
          <w:highlight w:val="none"/>
          <w:lang w:val="en-US" w:eastAsia="zh-CN"/>
        </w:rPr>
        <w:t>ychj5588</w:t>
      </w:r>
      <w:r>
        <w:rPr>
          <w:rFonts w:hint="eastAsia" w:ascii="宋体" w:hAnsi="宋体" w:cs="宋体"/>
          <w:color w:val="auto"/>
          <w:kern w:val="0"/>
          <w:szCs w:val="21"/>
          <w:highlight w:val="none"/>
          <w:lang w:eastAsia="zh-CN"/>
        </w:rPr>
        <w:t>@163.com</w:t>
      </w:r>
      <w:r>
        <w:rPr>
          <w:rFonts w:hint="eastAsia" w:ascii="宋体" w:hAnsi="宋体" w:cs="宋体"/>
          <w:color w:val="auto"/>
          <w:kern w:val="0"/>
          <w:szCs w:val="21"/>
          <w:highlight w:val="none"/>
        </w:rPr>
        <w:t>）。</w:t>
      </w:r>
    </w:p>
    <w:p w14:paraId="316FD5A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4.1.4</w:t>
      </w:r>
      <w:r>
        <w:rPr>
          <w:rFonts w:hint="eastAsia" w:ascii="宋体" w:hAnsi="宋体" w:cs="宋体"/>
          <w:color w:val="auto"/>
          <w:kern w:val="0"/>
          <w:szCs w:val="21"/>
          <w:highlight w:val="none"/>
        </w:rPr>
        <w:t xml:space="preserve"> 各</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需在开标前提前下载“腾讯会议”直播APP，参见开标会议，会议号：</w:t>
      </w:r>
      <w:r>
        <w:rPr>
          <w:rFonts w:hint="eastAsia" w:ascii="宋体" w:hAnsi="宋体" w:cs="宋体"/>
          <w:color w:val="auto"/>
          <w:kern w:val="0"/>
          <w:szCs w:val="21"/>
          <w:highlight w:val="none"/>
          <w:u w:val="single"/>
          <w:lang w:val="en-US" w:eastAsia="zh-CN"/>
        </w:rPr>
        <w:t xml:space="preserve">867-439-703 </w:t>
      </w:r>
      <w:r>
        <w:rPr>
          <w:rFonts w:hint="eastAsia" w:ascii="宋体" w:hAnsi="宋体" w:cs="宋体"/>
          <w:color w:val="auto"/>
          <w:kern w:val="0"/>
          <w:szCs w:val="21"/>
          <w:highlight w:val="none"/>
        </w:rPr>
        <w:t>，直接观看直播和在线交流。各</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自行准备相关硬件设备，确保网络畅通，音响保持正常使用状态。不得因未能观看到视频直播对开标会议提出</w:t>
      </w:r>
      <w:r>
        <w:rPr>
          <w:rFonts w:hint="eastAsia" w:ascii="宋体" w:hAnsi="宋体" w:cs="宋体"/>
          <w:color w:val="auto"/>
          <w:kern w:val="0"/>
          <w:szCs w:val="21"/>
          <w:highlight w:val="none"/>
          <w:lang w:val="en-US" w:eastAsia="zh-CN"/>
        </w:rPr>
        <w:t>异议</w:t>
      </w:r>
      <w:r>
        <w:rPr>
          <w:rFonts w:hint="eastAsia" w:ascii="宋体" w:hAnsi="宋体" w:cs="宋体"/>
          <w:color w:val="auto"/>
          <w:kern w:val="0"/>
          <w:szCs w:val="21"/>
          <w:highlight w:val="none"/>
        </w:rPr>
        <w:t>。</w:t>
      </w:r>
    </w:p>
    <w:p w14:paraId="176A14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4.1.5</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必须在</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文件提交截止时间后15分钟内，将</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文件的解密密码发送至</w:t>
      </w:r>
      <w:r>
        <w:rPr>
          <w:rFonts w:hint="eastAsia" w:ascii="宋体" w:hAnsi="宋体" w:cs="宋体"/>
          <w:color w:val="auto"/>
          <w:kern w:val="0"/>
          <w:szCs w:val="21"/>
          <w:highlight w:val="none"/>
          <w:lang w:eastAsia="zh-CN"/>
        </w:rPr>
        <w:t>招标人</w:t>
      </w:r>
      <w:r>
        <w:rPr>
          <w:rFonts w:hint="eastAsia" w:ascii="宋体" w:hAnsi="宋体" w:cs="宋体"/>
          <w:color w:val="auto"/>
          <w:kern w:val="0"/>
          <w:szCs w:val="21"/>
          <w:highlight w:val="none"/>
        </w:rPr>
        <w:t>指定的邮箱，邮箱主题标明“单位名称+解密密码”字样，逾期未发送或因自身原因未能发送的，其投标无效。</w:t>
      </w:r>
    </w:p>
    <w:p w14:paraId="5F3EC05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4.1.6</w:t>
      </w:r>
      <w:r>
        <w:rPr>
          <w:rFonts w:hint="eastAsia" w:ascii="宋体" w:hAnsi="宋体" w:cs="宋体"/>
          <w:color w:val="auto"/>
          <w:kern w:val="0"/>
          <w:szCs w:val="21"/>
          <w:highlight w:val="none"/>
        </w:rPr>
        <w:t xml:space="preserve"> </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文件有下列情形之一的，将被拒绝接收：</w:t>
      </w:r>
    </w:p>
    <w:p w14:paraId="39C6DEE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递交的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文件和解密密码由不同邮箱发送的；</w:t>
      </w:r>
    </w:p>
    <w:p w14:paraId="4D1B5D7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（2）</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递交的</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文件逾期到达或未发送至指定邮箱的；</w:t>
      </w:r>
    </w:p>
    <w:p w14:paraId="29B88C6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（3）</w:t>
      </w:r>
      <w:r>
        <w:rPr>
          <w:rFonts w:hint="eastAsia" w:ascii="宋体" w:hAnsi="宋体" w:cs="宋体"/>
          <w:color w:val="auto"/>
          <w:kern w:val="0"/>
          <w:szCs w:val="21"/>
          <w:highlight w:val="none"/>
          <w:lang w:eastAsia="zh-CN"/>
        </w:rPr>
        <w:t>投标人</w:t>
      </w:r>
      <w:r>
        <w:rPr>
          <w:rFonts w:hint="eastAsia" w:ascii="宋体" w:hAnsi="宋体" w:cs="宋体"/>
          <w:color w:val="auto"/>
          <w:kern w:val="0"/>
          <w:szCs w:val="21"/>
          <w:highlight w:val="none"/>
        </w:rPr>
        <w:t>的解密密码在</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截止时间前发送的或在规定发送密码的截止时间后发送的。</w:t>
      </w:r>
    </w:p>
    <w:p w14:paraId="40ADD11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ascii="宋体" w:hAnsi="宋体" w:cs="宋体"/>
          <w:b/>
          <w:bCs/>
          <w:color w:val="auto"/>
          <w:kern w:val="0"/>
          <w:szCs w:val="21"/>
          <w:highlight w:val="none"/>
        </w:rPr>
      </w:pPr>
      <w:r>
        <w:rPr>
          <w:rFonts w:hint="eastAsia" w:ascii="宋体" w:hAnsi="宋体" w:cs="宋体"/>
          <w:b/>
          <w:bCs/>
          <w:color w:val="auto"/>
          <w:kern w:val="0"/>
          <w:szCs w:val="21"/>
          <w:highlight w:val="none"/>
          <w:lang w:val="en-US" w:eastAsia="zh-CN"/>
        </w:rPr>
        <w:t xml:space="preserve">4.1.7 </w:t>
      </w:r>
      <w:r>
        <w:rPr>
          <w:rFonts w:hint="eastAsia" w:ascii="宋体" w:hAnsi="宋体" w:cs="宋体"/>
          <w:b/>
          <w:bCs/>
          <w:color w:val="auto"/>
          <w:kern w:val="0"/>
          <w:szCs w:val="21"/>
          <w:highlight w:val="none"/>
        </w:rPr>
        <w:t>各</w:t>
      </w:r>
      <w:r>
        <w:rPr>
          <w:rFonts w:hint="eastAsia" w:ascii="宋体" w:hAnsi="宋体" w:cs="宋体"/>
          <w:b/>
          <w:bCs/>
          <w:color w:val="auto"/>
          <w:kern w:val="0"/>
          <w:szCs w:val="21"/>
          <w:highlight w:val="none"/>
          <w:lang w:eastAsia="zh-CN"/>
        </w:rPr>
        <w:t>投标人</w:t>
      </w:r>
      <w:r>
        <w:rPr>
          <w:rFonts w:hint="eastAsia" w:ascii="宋体" w:hAnsi="宋体" w:cs="宋体"/>
          <w:b/>
          <w:bCs/>
          <w:color w:val="auto"/>
          <w:kern w:val="0"/>
          <w:szCs w:val="21"/>
          <w:highlight w:val="none"/>
        </w:rPr>
        <w:t>法定代表人或授权代表须持身份证原件出席视频直播会议，并保证在开标过程中随时出示，由</w:t>
      </w:r>
      <w:r>
        <w:rPr>
          <w:rFonts w:hint="eastAsia" w:ascii="宋体" w:hAnsi="宋体" w:cs="宋体"/>
          <w:b/>
          <w:bCs/>
          <w:color w:val="auto"/>
          <w:kern w:val="0"/>
          <w:szCs w:val="21"/>
          <w:highlight w:val="none"/>
          <w:lang w:eastAsia="zh-CN"/>
        </w:rPr>
        <w:t>招标人</w:t>
      </w:r>
      <w:r>
        <w:rPr>
          <w:rFonts w:hint="eastAsia" w:ascii="宋体" w:hAnsi="宋体" w:cs="宋体"/>
          <w:b/>
          <w:bCs/>
          <w:color w:val="auto"/>
          <w:kern w:val="0"/>
          <w:szCs w:val="21"/>
          <w:highlight w:val="none"/>
        </w:rPr>
        <w:t>代表核验。</w:t>
      </w:r>
      <w:r>
        <w:rPr>
          <w:rFonts w:hint="eastAsia" w:ascii="宋体" w:hAnsi="宋体" w:eastAsia="宋体" w:cs="宋体"/>
          <w:b/>
          <w:bCs/>
          <w:color w:val="auto"/>
          <w:kern w:val="0"/>
          <w:szCs w:val="21"/>
          <w:highlight w:val="none"/>
          <w:lang w:val="en-US" w:eastAsia="zh-CN"/>
        </w:rPr>
        <w:t>未能提供身份证原件的，视为认可开标结果。</w:t>
      </w:r>
    </w:p>
    <w:p w14:paraId="3E3D5AE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 xml:space="preserve"> 投标文件的修改与撤回</w:t>
      </w:r>
    </w:p>
    <w:p w14:paraId="0755D77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投标截止时间之前，投标人可对所递交的投标文件以书面的形式进行修改或撤回。修改的内容作为投标文件的组成部分。</w:t>
      </w:r>
      <w:r>
        <w:rPr>
          <w:rFonts w:hint="eastAsia" w:ascii="宋体" w:hAnsi="宋体" w:cs="宋体"/>
          <w:color w:val="auto"/>
          <w:kern w:val="0"/>
          <w:szCs w:val="21"/>
          <w:highlight w:val="none"/>
          <w:lang w:val="en-US" w:eastAsia="zh-CN"/>
        </w:rPr>
        <w:t>投标人</w:t>
      </w:r>
      <w:r>
        <w:rPr>
          <w:rFonts w:hint="eastAsia" w:ascii="宋体" w:hAnsi="宋体" w:cs="宋体"/>
          <w:color w:val="auto"/>
          <w:kern w:val="0"/>
          <w:szCs w:val="21"/>
          <w:highlight w:val="none"/>
        </w:rPr>
        <w:t>应按招标文件的相关规定重新编制发送，并在邮箱发送主题上标明“补充、修改”字样。</w:t>
      </w:r>
    </w:p>
    <w:p w14:paraId="67D85144">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5. 开标</w:t>
      </w:r>
    </w:p>
    <w:p w14:paraId="0EEB35E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5.1 开标时间</w:t>
      </w:r>
      <w:r>
        <w:rPr>
          <w:rFonts w:hint="eastAsia" w:ascii="宋体" w:hAnsi="宋体" w:cs="宋体"/>
          <w:color w:val="auto"/>
          <w:kern w:val="0"/>
          <w:szCs w:val="21"/>
          <w:highlight w:val="none"/>
          <w:lang w:val="en-US" w:eastAsia="zh-CN"/>
        </w:rPr>
        <w:t>和</w:t>
      </w:r>
      <w:r>
        <w:rPr>
          <w:rFonts w:hint="eastAsia" w:ascii="宋体" w:hAnsi="宋体" w:cs="宋体"/>
          <w:color w:val="auto"/>
          <w:kern w:val="0"/>
          <w:szCs w:val="21"/>
          <w:highlight w:val="none"/>
        </w:rPr>
        <w:t>地点</w:t>
      </w:r>
    </w:p>
    <w:p w14:paraId="1E6B44E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5.1.1 招标人在投标人须知前附表规定的时间和地点公开开标，并邀请所有投标人的法定代表人或其委托代理人准时参加。</w:t>
      </w:r>
    </w:p>
    <w:p w14:paraId="3291C17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5.2 开标程序</w:t>
      </w:r>
    </w:p>
    <w:p w14:paraId="02CA69C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主持人按下列程序进行开标：</w:t>
      </w:r>
    </w:p>
    <w:p w14:paraId="4BD2885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（1）宣布开标纪律；</w:t>
      </w:r>
    </w:p>
    <w:p w14:paraId="19C8987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（2）公布在投标截止时间前递交投标文件的投标人名称，并点名确认投标人是否派人到场；</w:t>
      </w:r>
    </w:p>
    <w:p w14:paraId="07A24B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（3）介绍出席开标会议的有关人员姓名；</w:t>
      </w:r>
    </w:p>
    <w:p w14:paraId="1712010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（4）按照投标人须知前附表规定检查投标文件的密封情况；</w:t>
      </w:r>
    </w:p>
    <w:p w14:paraId="5745F8C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（5）随机当众开标唱标，公布投标人名称、投标报价、质量目标、工期及其他内容，并记录在案；</w:t>
      </w:r>
    </w:p>
    <w:p w14:paraId="31CEF83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（6）招标人代表、监标人、记录人等有关人员在开标记录上签字确认；</w:t>
      </w:r>
    </w:p>
    <w:p w14:paraId="11B0A34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（7）开标结束。</w:t>
      </w:r>
    </w:p>
    <w:p w14:paraId="1FD0F57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5.2.2 投标人对开标有异议的，应当在开标现场提出，招标人当场予以答复，并制作记录。任何单位和个人在开标结束后就开标提出的异议或投诉将不予受理。</w:t>
      </w:r>
    </w:p>
    <w:p w14:paraId="0D740A4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 不予接受的投标文件</w:t>
      </w:r>
    </w:p>
    <w:p w14:paraId="48574CD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5.3.1 投标文件有下列情形之一的，招标人不予接受：</w:t>
      </w:r>
    </w:p>
    <w:p w14:paraId="192D64A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5.3.1.1 投标人递交的投标文件和解密密码由不同邮箱发送的；</w:t>
      </w:r>
    </w:p>
    <w:p w14:paraId="173801E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5.3.1.2 </w:t>
      </w:r>
      <w:r>
        <w:rPr>
          <w:rFonts w:hint="eastAsia" w:ascii="宋体" w:hAnsi="宋体" w:cs="宋体"/>
          <w:color w:val="auto"/>
          <w:kern w:val="0"/>
          <w:szCs w:val="21"/>
          <w:highlight w:val="none"/>
        </w:rPr>
        <w:t>投标人递交的投标文件逾期到达或未发送至指定邮箱的；</w:t>
      </w:r>
    </w:p>
    <w:p w14:paraId="3D9553D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 xml:space="preserve">5.3.1.3 </w:t>
      </w:r>
      <w:r>
        <w:rPr>
          <w:rFonts w:hint="eastAsia" w:ascii="宋体" w:hAnsi="宋体" w:cs="宋体"/>
          <w:color w:val="auto"/>
          <w:kern w:val="0"/>
          <w:szCs w:val="21"/>
          <w:highlight w:val="none"/>
        </w:rPr>
        <w:t>投标人的解密密码在投标截止时间前发送的或在规定发送密码的截止时间后发送的。投标文件逾期送达或者未送达指定地点的。</w:t>
      </w:r>
    </w:p>
    <w:p w14:paraId="2B17CF75">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6. 评标</w:t>
      </w:r>
    </w:p>
    <w:p w14:paraId="6CFB209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6.1 评标委员会</w:t>
      </w:r>
    </w:p>
    <w:p w14:paraId="0070D18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6.1.1 评标由招标人依法组建的评标委员会负责。评标委员会成员人数以及技术、经济等方面专家的确定方式见“投标人须知前附表”。</w:t>
      </w:r>
    </w:p>
    <w:p w14:paraId="155EBA8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6.1.2 评标委员会成员有下列情形之一的，应当回避：</w:t>
      </w:r>
    </w:p>
    <w:p w14:paraId="5A7B4D7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（1）招标人或投标人的主要负责人的近亲属；</w:t>
      </w:r>
    </w:p>
    <w:p w14:paraId="74BA589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（2）项目主管部门或者行政监督部门的人员；</w:t>
      </w:r>
    </w:p>
    <w:p w14:paraId="479CC27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（3）与投标人有经济利益关系，可能影响对投标公正评审的；</w:t>
      </w:r>
    </w:p>
    <w:p w14:paraId="47AAD3B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（4）曾因在招标、评标以及其他与招标投标有关活动中从事违法行为而受过行政处罚或刑事处罚的。</w:t>
      </w:r>
    </w:p>
    <w:p w14:paraId="62091A2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6.2 评标原则</w:t>
      </w:r>
    </w:p>
    <w:p w14:paraId="04EA4A7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评标活动遵循公平、公正、科学和择优的原则。</w:t>
      </w:r>
    </w:p>
    <w:p w14:paraId="736760A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6.3 评标</w:t>
      </w:r>
    </w:p>
    <w:p w14:paraId="4ACEA86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评标委员会按照第三章“评标办法”规定的方法、评审因素、标准和程序对投标文件进行评审。第三章“评标办法”没有规定的方法、评审因素和标准，不作为评标依据。</w:t>
      </w:r>
    </w:p>
    <w:p w14:paraId="4D8CBA75">
      <w:pPr>
        <w:pStyle w:val="22"/>
        <w:keepNext w:val="0"/>
        <w:keepLines w:val="0"/>
        <w:pageBreakBefore w:val="0"/>
        <w:kinsoku/>
        <w:wordWrap/>
        <w:overflowPunct/>
        <w:topLinePunct w:val="0"/>
        <w:bidi w:val="0"/>
        <w:snapToGrid w:val="0"/>
        <w:spacing w:line="500" w:lineRule="exact"/>
        <w:ind w:left="0" w:leftChars="0" w:right="0" w:rightChars="0" w:firstLine="422" w:firstLineChars="200"/>
        <w:jc w:val="both"/>
        <w:textAlignment w:val="auto"/>
        <w:outlineLvl w:val="9"/>
        <w:rPr>
          <w:rFonts w:hAnsi="宋体" w:cs="宋体"/>
          <w:b/>
          <w:bCs/>
          <w:color w:val="auto"/>
          <w:sz w:val="21"/>
          <w:szCs w:val="21"/>
          <w:highlight w:val="none"/>
        </w:rPr>
      </w:pPr>
      <w:r>
        <w:rPr>
          <w:rFonts w:hint="eastAsia" w:hAnsi="宋体" w:cs="宋体"/>
          <w:b/>
          <w:bCs/>
          <w:color w:val="auto"/>
          <w:sz w:val="21"/>
          <w:szCs w:val="21"/>
          <w:highlight w:val="none"/>
        </w:rPr>
        <w:t>7. 合同授予</w:t>
      </w:r>
    </w:p>
    <w:p w14:paraId="73EC50B2">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7.1 定标方式</w:t>
      </w:r>
    </w:p>
    <w:p w14:paraId="2FD814E4">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除投标人须知前附表规定评标委员会直接确定中标人外，招标人依据评标委员会推荐的中标候选人确定中标人，评标委员会推荐中标候选人的人数见投标人须知前附表。</w:t>
      </w:r>
    </w:p>
    <w:p w14:paraId="3797BB6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7.2 中标通知</w:t>
      </w:r>
    </w:p>
    <w:p w14:paraId="72F3ECF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在本章第3.3 款规定的投标有效期内，招标人以书面形式向中标人发出中标通知书，同时将中标结果通知未中标的投标人。</w:t>
      </w:r>
    </w:p>
    <w:p w14:paraId="10022CCC">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 履约担保</w:t>
      </w:r>
    </w:p>
    <w:p w14:paraId="06BE6EE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26BFC41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7.3.2 中标人不能按本章第7.3.1 项要求提交履约担保的，视为放弃中标，其投标保证金不予退还，给招标人造成的损失超过投标保证金数额的，中标人还应当对超过部分予以赔偿。</w:t>
      </w:r>
    </w:p>
    <w:p w14:paraId="32935BB6">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 签订合同</w:t>
      </w:r>
    </w:p>
    <w:p w14:paraId="6B496A4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7.4.1 招标人和中标人应当自中标通知书发出之日起5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14:paraId="1AC4F51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7.4.2 发出中标通知书后，招标人无正当理由拒签合同的，招标人向中标人退还投标保证金；给中标人造成损失的，还应当赔偿损失。</w:t>
      </w:r>
    </w:p>
    <w:p w14:paraId="09B3BBA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textAlignment w:val="auto"/>
        <w:outlineLvl w:val="9"/>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w:t>
      </w:r>
      <w:r>
        <w:rPr>
          <w:rFonts w:hint="eastAsia" w:ascii="宋体" w:hAnsi="宋体" w:cs="宋体"/>
          <w:b/>
          <w:color w:val="auto"/>
          <w:kern w:val="0"/>
          <w:szCs w:val="21"/>
          <w:highlight w:val="none"/>
        </w:rPr>
        <w:t xml:space="preserve">. </w:t>
      </w:r>
      <w:r>
        <w:rPr>
          <w:rFonts w:hint="eastAsia" w:ascii="宋体" w:hAnsi="宋体" w:eastAsia="宋体" w:cs="宋体"/>
          <w:b/>
          <w:bCs/>
          <w:color w:val="auto"/>
          <w:sz w:val="21"/>
          <w:szCs w:val="21"/>
          <w:highlight w:val="none"/>
        </w:rPr>
        <w:t>纪律和监督</w:t>
      </w:r>
    </w:p>
    <w:p w14:paraId="265B23B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8.1</w:t>
      </w:r>
      <w:r>
        <w:rPr>
          <w:rFonts w:hint="eastAsia" w:hAnsi="宋体" w:cs="宋体"/>
          <w:color w:val="auto"/>
          <w:sz w:val="21"/>
          <w:szCs w:val="21"/>
          <w:highlight w:val="none"/>
        </w:rPr>
        <w:t xml:space="preserve"> 对招标人的纪律要求</w:t>
      </w:r>
    </w:p>
    <w:p w14:paraId="10E7B9F7">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招标人不得泄漏招标投标活动中应当保密的情况和资料，不得与投标人串通损害国家利益、社会公共利益或者他人合法权益。</w:t>
      </w:r>
    </w:p>
    <w:p w14:paraId="2F3D9B8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对投标人的纪律要求</w:t>
      </w:r>
    </w:p>
    <w:p w14:paraId="03EB567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210BBA7F">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对评标委员会成员的纪律要求</w:t>
      </w:r>
    </w:p>
    <w:p w14:paraId="22FC4420">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14:paraId="33299B5A">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 xml:space="preserve">8.4 </w:t>
      </w:r>
      <w:r>
        <w:rPr>
          <w:rFonts w:hint="eastAsia" w:hAnsi="宋体" w:cs="宋体"/>
          <w:color w:val="auto"/>
          <w:sz w:val="21"/>
          <w:szCs w:val="21"/>
          <w:highlight w:val="none"/>
        </w:rPr>
        <w:t>对与评标活动有关的工作人员的纪律要求</w:t>
      </w:r>
    </w:p>
    <w:p w14:paraId="0040670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51244F48">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 异议与投诉</w:t>
      </w:r>
    </w:p>
    <w:p w14:paraId="398DA58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异议</w:t>
      </w:r>
    </w:p>
    <w:p w14:paraId="404B294B">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投标</w:t>
      </w:r>
      <w:r>
        <w:rPr>
          <w:rFonts w:hint="eastAsia" w:hAnsi="宋体" w:cs="宋体"/>
          <w:color w:val="auto"/>
          <w:sz w:val="21"/>
          <w:szCs w:val="21"/>
          <w:highlight w:val="none"/>
        </w:rPr>
        <w:t>人或者其他利害关系人对招标文件有异议的，应在投标人须知前附表规定的时间前提出。招标人应当自收到异议之日起3日内作出答复；作出答复前，应当暂停招标投标活动。</w:t>
      </w:r>
    </w:p>
    <w:p w14:paraId="17FBB0F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投标人对开标有异议的，应当在开标现场提出，招标人应当当场作出答复，并制作记录。</w:t>
      </w:r>
    </w:p>
    <w:p w14:paraId="11184E5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hAnsi="宋体" w:cs="宋体"/>
          <w:color w:val="auto"/>
          <w:sz w:val="21"/>
          <w:szCs w:val="21"/>
          <w:highlight w:val="none"/>
        </w:rPr>
        <w:t>投标人或者其他利害关系人对依法必须进行招标的项目的评标结果有异议的，应当在中标候选人公示期间提出。</w:t>
      </w:r>
    </w:p>
    <w:p w14:paraId="430CDC0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投诉</w:t>
      </w:r>
    </w:p>
    <w:p w14:paraId="442A6AC5">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hint="eastAsia" w:hAnsi="宋体" w:cs="宋体"/>
          <w:color w:val="auto"/>
          <w:sz w:val="21"/>
          <w:szCs w:val="21"/>
          <w:highlight w:val="none"/>
        </w:rPr>
      </w:pPr>
      <w:r>
        <w:rPr>
          <w:rFonts w:hint="eastAsia" w:ascii="宋体" w:hAnsi="宋体" w:eastAsia="宋体" w:cs="宋体"/>
          <w:color w:val="auto"/>
          <w:sz w:val="21"/>
          <w:szCs w:val="21"/>
          <w:highlight w:val="none"/>
        </w:rPr>
        <w:t>投标人和其他利害关系人认为本次招标活动违反法律、法规和规章规定的，可以在知道或者应当知道</w:t>
      </w:r>
      <w:r>
        <w:rPr>
          <w:rFonts w:hint="eastAsia" w:hAnsi="宋体" w:cs="宋体"/>
          <w:color w:val="auto"/>
          <w:sz w:val="21"/>
          <w:szCs w:val="21"/>
          <w:highlight w:val="none"/>
        </w:rPr>
        <w:t>之日起十日内向有管辖权的建设工程招标投标行政监督部门提出书面投诉。投诉应当有明确的请求和必要的证明材料。就</w:t>
      </w:r>
      <w:r>
        <w:rPr>
          <w:rFonts w:hint="eastAsia" w:ascii="宋体" w:hAnsi="宋体" w:eastAsia="宋体" w:cs="宋体"/>
          <w:color w:val="auto"/>
          <w:sz w:val="21"/>
          <w:szCs w:val="21"/>
          <w:highlight w:val="none"/>
        </w:rPr>
        <w:t>第7.5.1项规定事项提出</w:t>
      </w:r>
      <w:r>
        <w:rPr>
          <w:rFonts w:hint="eastAsia" w:hAnsi="宋体" w:cs="宋体"/>
          <w:color w:val="auto"/>
          <w:sz w:val="21"/>
          <w:szCs w:val="21"/>
          <w:highlight w:val="none"/>
        </w:rPr>
        <w:t>投诉的，应先向招标人提出异议。</w:t>
      </w:r>
    </w:p>
    <w:p w14:paraId="0970A6A1">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jc w:val="left"/>
        <w:textAlignment w:val="auto"/>
        <w:outlineLvl w:val="9"/>
        <w:rPr>
          <w:rFonts w:hint="eastAsia" w:ascii="宋体" w:hAnsi="宋体" w:cs="宋体"/>
          <w:b/>
          <w:color w:val="auto"/>
          <w:kern w:val="0"/>
          <w:szCs w:val="21"/>
          <w:highlight w:val="none"/>
        </w:rPr>
      </w:pPr>
      <w:r>
        <w:rPr>
          <w:rFonts w:hint="eastAsia" w:ascii="宋体" w:hAnsi="宋体" w:cs="宋体"/>
          <w:b/>
          <w:color w:val="auto"/>
          <w:kern w:val="0"/>
          <w:szCs w:val="21"/>
          <w:highlight w:val="none"/>
        </w:rPr>
        <w:t>9. 解释权</w:t>
      </w:r>
    </w:p>
    <w:p w14:paraId="487792FD">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0" w:firstLineChars="200"/>
        <w:textAlignment w:val="auto"/>
        <w:outlineLvl w:val="9"/>
        <w:rPr>
          <w:rFonts w:ascii="宋体" w:hAnsi="宋体" w:cs="宋体"/>
          <w:color w:val="auto"/>
          <w:kern w:val="0"/>
          <w:szCs w:val="21"/>
          <w:highlight w:val="none"/>
        </w:rPr>
      </w:pPr>
      <w:r>
        <w:rPr>
          <w:rFonts w:hint="eastAsia" w:hAnsi="宋体" w:cs="宋体"/>
          <w:color w:val="auto"/>
          <w:sz w:val="21"/>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16F1233E">
      <w:pPr>
        <w:keepNext w:val="0"/>
        <w:keepLines w:val="0"/>
        <w:pageBreakBefore w:val="0"/>
        <w:kinsoku/>
        <w:wordWrap/>
        <w:overflowPunct/>
        <w:topLinePunct w:val="0"/>
        <w:autoSpaceDE w:val="0"/>
        <w:autoSpaceDN w:val="0"/>
        <w:bidi w:val="0"/>
        <w:adjustRightInd w:val="0"/>
        <w:snapToGrid w:val="0"/>
        <w:spacing w:line="500" w:lineRule="exact"/>
        <w:ind w:left="0" w:leftChars="0" w:right="0" w:rightChars="0" w:firstLine="422" w:firstLineChars="200"/>
        <w:jc w:val="left"/>
        <w:textAlignment w:val="auto"/>
        <w:outlineLvl w:val="9"/>
        <w:rPr>
          <w:rFonts w:hint="eastAsia" w:ascii="宋体" w:hAnsi="宋体" w:cs="宋体"/>
          <w:b/>
          <w:color w:val="auto"/>
          <w:kern w:val="0"/>
          <w:szCs w:val="21"/>
          <w:highlight w:val="none"/>
        </w:rPr>
      </w:pPr>
      <w:r>
        <w:rPr>
          <w:rFonts w:hint="eastAsia" w:ascii="宋体" w:hAnsi="宋体" w:cs="宋体"/>
          <w:b/>
          <w:color w:val="auto"/>
          <w:kern w:val="0"/>
          <w:szCs w:val="21"/>
          <w:highlight w:val="none"/>
        </w:rPr>
        <w:t>10. 其他</w:t>
      </w:r>
    </w:p>
    <w:p w14:paraId="3478FE6B">
      <w:pPr>
        <w:autoSpaceDE w:val="0"/>
        <w:autoSpaceDN w:val="0"/>
        <w:adjustRightInd w:val="0"/>
        <w:spacing w:line="420" w:lineRule="exact"/>
        <w:ind w:firstLine="413" w:firstLineChars="196"/>
        <w:jc w:val="left"/>
        <w:rPr>
          <w:rFonts w:ascii="宋体" w:hAnsi="宋体" w:cs="宋体"/>
          <w:b/>
          <w:color w:val="auto"/>
          <w:kern w:val="0"/>
          <w:szCs w:val="21"/>
          <w:highlight w:val="none"/>
        </w:rPr>
      </w:pPr>
      <w:r>
        <w:rPr>
          <w:rFonts w:hint="eastAsia" w:ascii="宋体" w:hAnsi="宋体" w:cs="宋体"/>
          <w:b/>
          <w:color w:val="auto"/>
          <w:kern w:val="0"/>
          <w:szCs w:val="21"/>
          <w:highlight w:val="none"/>
          <w:lang w:val="en-US" w:eastAsia="zh-CN"/>
        </w:rPr>
        <w:t>见“投标人须知前附表”。</w:t>
      </w:r>
    </w:p>
    <w:p w14:paraId="45FA8D9F">
      <w:pPr>
        <w:autoSpaceDE w:val="0"/>
        <w:autoSpaceDN w:val="0"/>
        <w:adjustRightInd w:val="0"/>
        <w:spacing w:line="420" w:lineRule="exact"/>
        <w:jc w:val="left"/>
        <w:rPr>
          <w:rFonts w:ascii="宋体" w:hAnsi="宋体" w:cs="宋体"/>
          <w:color w:val="auto"/>
          <w:kern w:val="0"/>
          <w:szCs w:val="21"/>
          <w:highlight w:val="none"/>
        </w:rPr>
      </w:pPr>
    </w:p>
    <w:p w14:paraId="4392368B">
      <w:pPr>
        <w:pStyle w:val="3"/>
        <w:keepLines w:val="0"/>
        <w:widowControl/>
        <w:tabs>
          <w:tab w:val="left" w:pos="432"/>
        </w:tabs>
        <w:spacing w:line="240" w:lineRule="auto"/>
        <w:ind w:left="432" w:hanging="432"/>
        <w:jc w:val="center"/>
        <w:rPr>
          <w:rFonts w:hint="eastAsia" w:ascii="宋体" w:hAnsi="宋体" w:eastAsia="宋体" w:cs="宋体"/>
          <w:color w:val="auto"/>
          <w:szCs w:val="32"/>
          <w:highlight w:val="none"/>
          <w:lang w:val="en-US" w:eastAsia="zh-CN"/>
        </w:rPr>
      </w:pPr>
      <w:r>
        <w:rPr>
          <w:rFonts w:hint="eastAsia" w:ascii="宋体" w:hAnsi="宋体" w:cs="宋体"/>
          <w:color w:val="auto"/>
          <w:kern w:val="0"/>
          <w:sz w:val="24"/>
          <w:highlight w:val="none"/>
        </w:rPr>
        <w:br w:type="page"/>
      </w:r>
      <w:bookmarkStart w:id="150" w:name="_Toc14793"/>
      <w:bookmarkStart w:id="151" w:name="_Toc8030"/>
      <w:bookmarkStart w:id="152" w:name="_Toc302986234"/>
      <w:bookmarkStart w:id="153" w:name="_Toc227492312"/>
      <w:bookmarkStart w:id="154" w:name="_Toc228881229"/>
      <w:bookmarkStart w:id="155" w:name="_Toc228591725"/>
      <w:bookmarkStart w:id="156" w:name="_Toc214433955"/>
      <w:bookmarkStart w:id="157" w:name="_Toc228591577"/>
      <w:bookmarkStart w:id="158" w:name="_Toc228589231"/>
      <w:bookmarkStart w:id="159" w:name="_Toc227657555"/>
      <w:bookmarkStart w:id="160" w:name="_Toc228337166"/>
      <w:r>
        <w:rPr>
          <w:rFonts w:hint="eastAsia" w:ascii="宋体" w:hAnsi="宋体" w:eastAsia="宋体" w:cs="宋体"/>
          <w:color w:val="auto"/>
          <w:szCs w:val="32"/>
          <w:highlight w:val="none"/>
          <w:lang w:val="en-US" w:eastAsia="zh-CN"/>
        </w:rPr>
        <w:t>第三章  评标办法</w:t>
      </w:r>
      <w:bookmarkEnd w:id="150"/>
      <w:bookmarkEnd w:id="151"/>
    </w:p>
    <w:p w14:paraId="44C90C2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bookmarkStart w:id="161" w:name="_Toc291610640"/>
      <w:r>
        <w:rPr>
          <w:rFonts w:hint="eastAsia" w:ascii="宋体" w:hAnsi="宋体" w:eastAsia="宋体" w:cs="宋体"/>
          <w:color w:val="auto"/>
          <w:kern w:val="0"/>
          <w:sz w:val="21"/>
          <w:szCs w:val="21"/>
          <w:highlight w:val="none"/>
        </w:rPr>
        <w:t>1.评标方法</w:t>
      </w:r>
      <w:bookmarkEnd w:id="161"/>
    </w:p>
    <w:p w14:paraId="7AC6370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bookmarkStart w:id="162" w:name="_Toc291610641"/>
      <w:r>
        <w:rPr>
          <w:rFonts w:hint="eastAsia" w:ascii="宋体" w:hAnsi="宋体" w:eastAsia="宋体" w:cs="宋体"/>
          <w:color w:val="auto"/>
          <w:sz w:val="21"/>
          <w:szCs w:val="21"/>
          <w:highlight w:val="none"/>
        </w:rPr>
        <w:t>本工程招标评标办法采用“经评审的最低投标价法”，由招标人依法组建的评标委员会对投标人资格、投标保证金、投标文件等进行评审，选取投标文件评审合格且报价最低的为第一中标候选人，并按报价由低到高推荐</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名中标候选人。如果其投标报价相同，采用随机抽签方式确定排序。</w:t>
      </w:r>
      <w:r>
        <w:rPr>
          <w:rFonts w:hint="eastAsia" w:ascii="宋体" w:hAnsi="宋体" w:eastAsia="宋体" w:cs="宋体"/>
          <w:color w:val="auto"/>
          <w:kern w:val="0"/>
          <w:sz w:val="21"/>
          <w:szCs w:val="21"/>
          <w:highlight w:val="none"/>
        </w:rPr>
        <w:t>招标人根据评标委员会提供的书面评标报告，依法确定中标人。</w:t>
      </w:r>
    </w:p>
    <w:p w14:paraId="1F3C6C2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bookmarkEnd w:id="162"/>
      <w:r>
        <w:rPr>
          <w:rFonts w:hint="eastAsia" w:ascii="宋体" w:hAnsi="宋体" w:eastAsia="宋体" w:cs="宋体"/>
          <w:color w:val="auto"/>
          <w:kern w:val="0"/>
          <w:sz w:val="21"/>
          <w:szCs w:val="21"/>
          <w:highlight w:val="none"/>
        </w:rPr>
        <w:t>资格评审标准</w:t>
      </w:r>
    </w:p>
    <w:p w14:paraId="11B703E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 存在下列情况之一的资格审查为不合格：</w:t>
      </w:r>
    </w:p>
    <w:p w14:paraId="1E99220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（1）未达到招标文件要求的企业资质等级、或项目负责人资质等级。</w:t>
      </w:r>
    </w:p>
    <w:p w14:paraId="2069FFAA">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（2）投标人名称与营业执照、资质证书、安全生产许可证名称不一致的；</w:t>
      </w:r>
    </w:p>
    <w:p w14:paraId="1E4168C0">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（3）招标人有理由认定投标人不具备能力和条件完成招标工程的。</w:t>
      </w:r>
    </w:p>
    <w:p w14:paraId="05A8130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（4）投标文件授权委托人及项目负责人与报名时不一致的，但授权委托人与项目负责人为同一人时除外。</w:t>
      </w:r>
    </w:p>
    <w:p w14:paraId="5650D45F">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 如投标人被投诉存在下列情形之一：</w:t>
      </w:r>
    </w:p>
    <w:p w14:paraId="0D83A614">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（1）投标人处于被责令停业、或投标人资格被取消、或投标人全部财产处于被接管、冻结和破产状态。</w:t>
      </w:r>
    </w:p>
    <w:p w14:paraId="54A4FCB1">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（2）投标人因骗取中标、或投标人严重违约及发生重大工程质量事故等情况被有关部门暂停资格并在暂停期内，一经查实，招标人有权取消其中标资格，其投标保证金不予退还。</w:t>
      </w:r>
    </w:p>
    <w:p w14:paraId="6428514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bookmarkStart w:id="163" w:name="_Toc291610642"/>
      <w:r>
        <w:rPr>
          <w:rFonts w:hint="eastAsia" w:ascii="宋体" w:hAnsi="宋体" w:eastAsia="宋体" w:cs="宋体"/>
          <w:color w:val="auto"/>
          <w:kern w:val="0"/>
          <w:sz w:val="21"/>
          <w:szCs w:val="21"/>
          <w:highlight w:val="none"/>
        </w:rPr>
        <w:t>3.投标保证金有效性审查标准</w:t>
      </w:r>
      <w:bookmarkEnd w:id="163"/>
    </w:p>
    <w:p w14:paraId="184FFCA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存在下列情况之一的投标保证金无效，投标文件作无效标书处理：</w:t>
      </w:r>
    </w:p>
    <w:p w14:paraId="6619C375">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（1）未提供投标人基本存款户开户许可证复印件加盖投标人单位公章或企业银行基本存款账户开户基本信息加盖投标人单位公章的。</w:t>
      </w:r>
    </w:p>
    <w:p w14:paraId="37BACDD5">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（2）投标保证金不是从投标人本单位的基本账户上直接转（汇）的。</w:t>
      </w:r>
    </w:p>
    <w:p w14:paraId="0C5CFD6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（3）投标单位基本存款账户账号发生变更的，未出具开户许可证发证行证明的。</w:t>
      </w:r>
    </w:p>
    <w:p w14:paraId="50A28BD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（4）投标保证金金额小于招标文件规定的。</w:t>
      </w:r>
    </w:p>
    <w:p w14:paraId="668E076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（5）采用电汇、转账方式投标保证金未在投标文件递交截止时间前划入到招标人指定银行账户的。</w:t>
      </w:r>
    </w:p>
    <w:p w14:paraId="7E824E61">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4 </w:t>
      </w:r>
      <w:r>
        <w:rPr>
          <w:rFonts w:hint="eastAsia" w:ascii="宋体" w:hAnsi="宋体" w:eastAsia="宋体" w:cs="宋体"/>
          <w:color w:val="auto"/>
          <w:kern w:val="0"/>
          <w:sz w:val="21"/>
          <w:szCs w:val="21"/>
          <w:highlight w:val="none"/>
        </w:rPr>
        <w:t>投标文件评审</w:t>
      </w:r>
    </w:p>
    <w:p w14:paraId="1162906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4.1形式评审标准：凡投标文件有下列情况之一的，按废标处理：</w:t>
      </w:r>
    </w:p>
    <w:p w14:paraId="45E90E2E">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投标文件中的投标函未加盖投标人的公章；</w:t>
      </w:r>
    </w:p>
    <w:p w14:paraId="58375E19">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投标文件中的投标函未加盖企业法定代表人（或企业法定代表人委托代理人）印章（或签字）的；</w:t>
      </w:r>
    </w:p>
    <w:p w14:paraId="7A2F8B2A">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如投标函加盖企业法定代表人委托代理人印章（或签字）的，企业法定代表人委托代理人没有合法、有效的委托书（原件）的；</w:t>
      </w:r>
    </w:p>
    <w:p w14:paraId="1AB14EBC">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未按招标文件规定的格式填写，内容不全或关键字迹模糊、无法辨认的；</w:t>
      </w:r>
    </w:p>
    <w:p w14:paraId="46E57E77">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按招标文件约定应参加开标会的人员，未携带有效居民身份证件参加开标会议或未参加开标会议的；</w:t>
      </w:r>
    </w:p>
    <w:p w14:paraId="682C4578">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不同投标人的投标文件以及投标文件制作过程出现了评标委员会认为不应当雷同的情况的；</w:t>
      </w:r>
    </w:p>
    <w:p w14:paraId="25668E06">
      <w:pPr>
        <w:keepNext w:val="0"/>
        <w:keepLines w:val="0"/>
        <w:pageBreakBefore w:val="0"/>
        <w:widowControl w:val="0"/>
        <w:numPr>
          <w:ilvl w:val="0"/>
          <w:numId w:val="1"/>
        </w:numPr>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以他人的名义投标、串通投标、以行贿手段谋取中标或者以其他弄虚作假方式投标的。</w:t>
      </w:r>
    </w:p>
    <w:p w14:paraId="73E5EB70">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 响应性评审标准：凡投标文件有下列情况之一的，按废标处理：</w:t>
      </w:r>
    </w:p>
    <w:p w14:paraId="390D5A03">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b/>
          <w:color w:val="auto"/>
          <w:kern w:val="0"/>
          <w:sz w:val="21"/>
          <w:szCs w:val="21"/>
          <w:highlight w:val="none"/>
        </w:rPr>
        <w:t>投标报价低于成本或者高于招标文件设定的投标最高限价的</w:t>
      </w:r>
      <w:r>
        <w:rPr>
          <w:rFonts w:hint="eastAsia" w:ascii="宋体" w:hAnsi="宋体" w:eastAsia="宋体" w:cs="宋体"/>
          <w:color w:val="auto"/>
          <w:kern w:val="0"/>
          <w:sz w:val="21"/>
          <w:szCs w:val="21"/>
          <w:highlight w:val="none"/>
        </w:rPr>
        <w:t>；</w:t>
      </w:r>
    </w:p>
    <w:p w14:paraId="109D3820">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（2）同一投标人提交两个及以上不同的投标文件或者投标报价，但招标文件要求提交备选投标的除外；</w:t>
      </w:r>
    </w:p>
    <w:p w14:paraId="306995E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（3）与招标文件规定的暂估价、暂列金额及甲供材料价格不一致的；</w:t>
      </w:r>
    </w:p>
    <w:p w14:paraId="14FA5672">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（4）与招标文件明确列出的不可竞争费用项目或费率不一致的；</w:t>
      </w:r>
    </w:p>
    <w:p w14:paraId="6EB6B52B">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（5）与招标文件提供的工程量清单中的项目编码、项目名称、项目特征、计量单位、工程量不一致的；</w:t>
      </w:r>
    </w:p>
    <w:p w14:paraId="7A84FC5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（6）投标文件载明的招标项目完成期限超过招标文件规定的期限的；</w:t>
      </w:r>
    </w:p>
    <w:p w14:paraId="47BECF3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（7）明显不符合技术规范要求的；</w:t>
      </w:r>
    </w:p>
    <w:p w14:paraId="192168F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（8）投标文件提出了不能满足招标文件要求或招标人不能接受的工程验收、计量、价款结算和支付办法的。</w:t>
      </w:r>
    </w:p>
    <w:p w14:paraId="3483611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5.评标程序</w:t>
      </w:r>
    </w:p>
    <w:p w14:paraId="5931D53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评标委员会按招标文件规定的方法和标准对投标文件进行评审。即第一进行资格评审、第二进行投标保证金有效性审查、第三对投标文件进行评审,第四推荐中标候选人。</w:t>
      </w:r>
    </w:p>
    <w:p w14:paraId="6CB068A4">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6.投标报价错误的修正</w:t>
      </w:r>
    </w:p>
    <w:p w14:paraId="1E79E6A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 评标委员会按以下原则对投标报价进行修正，修正的价格经投标人书面同意后具有约束力。投标人不接受修正价格的，不按评标委员会要求澄清、说明或补正的，其投标作废标处理。</w:t>
      </w:r>
    </w:p>
    <w:p w14:paraId="310E265F">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 投标文件中的大写金额与小写金额不一致时，以大写金额为准。</w:t>
      </w:r>
    </w:p>
    <w:p w14:paraId="6A2B18A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 总价金额与依据单价计算出的结果不一致的，以单价金额为准修正总价，但单价金额小数点有明显错误的除外。</w:t>
      </w:r>
    </w:p>
    <w:p w14:paraId="25C34E1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7.投标文件的澄清</w:t>
      </w:r>
    </w:p>
    <w:p w14:paraId="671F289D">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7.1 在评标过程中，评标委员会可以书面要求投标人对所提交投标文件中不明确的内容进行书面澄清或说明，或者对细微偏差进行补正。评标委员会不接受投标人主动提出的澄清、说明或补正。</w:t>
      </w:r>
    </w:p>
    <w:p w14:paraId="16922288">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 澄清、说明或补正不得改变投标文件的实质性内容（算术性错误修正除外）。</w:t>
      </w:r>
    </w:p>
    <w:p w14:paraId="73589C42">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 评标委员会对投标人提交的澄清、说明或补正有疑问的，可以要求投标人进一步澄清、说明或补正，直至满足评标委员会的要求。</w:t>
      </w:r>
    </w:p>
    <w:p w14:paraId="2DC09CB4">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8.推荐中标候选人</w:t>
      </w:r>
    </w:p>
    <w:p w14:paraId="7A88F25B">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8.1评标委员会根据本评标办法推荐</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名中标候选人。</w:t>
      </w:r>
    </w:p>
    <w:p w14:paraId="43D2F51B">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 经评标委员会评审，认为所有投标都不符合招标文件要求的或经评审其有效投标文件不足三家的，评标委员会应当对是否具有竞争性进行判断：有竞争性的，按评标价由低至高的次序推荐中标候选人；缺乏竞争的，评标委员会应当否决全部投标。</w:t>
      </w:r>
    </w:p>
    <w:p w14:paraId="74E57CCD">
      <w:pPr>
        <w:keepNext w:val="0"/>
        <w:keepLines w:val="0"/>
        <w:pageBreakBefore w:val="0"/>
        <w:widowControl w:val="0"/>
        <w:kinsoku/>
        <w:wordWrap/>
        <w:overflowPunct/>
        <w:topLinePunct w:val="0"/>
        <w:bidi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 评标委员会完成评标后，应当向招标人提交书面评标报告。</w:t>
      </w:r>
    </w:p>
    <w:p w14:paraId="07914C4C">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rPr>
        <w:t>其它</w:t>
      </w:r>
    </w:p>
    <w:p w14:paraId="167068F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9.1</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投标人和项目负责人有违反建筑市场与招标投标管理法规的不良行为，被查处并经市招标办记录在案的，由评标委员会按相关规定扣分。</w:t>
      </w:r>
    </w:p>
    <w:p w14:paraId="6B8EF319">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9.2</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本办法未述及的事宜，由评标委员会依据法律法规处置。</w:t>
      </w:r>
    </w:p>
    <w:p w14:paraId="1F99B29A">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9.3</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不符合法律、法规规定，出现《盐城市市场廉政准入规定（试行）》限制情形的，按照规定予以废标处置。</w:t>
      </w:r>
    </w:p>
    <w:p w14:paraId="18164C58">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9.4</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经审查为虚假材料的，按无效标书处理。</w:t>
      </w:r>
    </w:p>
    <w:p w14:paraId="6CCF5747">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9.5</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排名第一的中标候选人（或者评标委员会依据招标人的授权直接确定的中标人）放弃中标，或因不可抗力提出不能履行合同，或者被查实存在影响中标结果的违法行为等情形，不符合中标条件的，本工程直接重新招标，不得确定其他投标人为中标人。凡第一中标候选人以非正当理由放弃中标，没收其投标保证金以弥补招标人的损失，不足部分由放弃者给予赔偿。</w:t>
      </w:r>
    </w:p>
    <w:p w14:paraId="3E19C70E">
      <w:pPr>
        <w:keepNext w:val="0"/>
        <w:keepLines w:val="0"/>
        <w:pageBreakBefore w:val="0"/>
        <w:widowControl w:val="0"/>
        <w:kinsoku/>
        <w:wordWrap/>
        <w:overflowPunct/>
        <w:topLinePunct w:val="0"/>
        <w:autoSpaceDE w:val="0"/>
        <w:autoSpaceDN w:val="0"/>
        <w:bidi w:val="0"/>
        <w:adjustRightInd w:val="0"/>
        <w:snapToGrid w:val="0"/>
        <w:spacing w:before="79" w:beforeLines="25" w:after="79" w:afterLines="25" w:line="42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9.6</w:t>
      </w: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对不中标的投标人，招标人有权不作任何解释。</w:t>
      </w:r>
    </w:p>
    <w:p w14:paraId="695D45B3">
      <w:pPr>
        <w:pStyle w:val="2"/>
        <w:rPr>
          <w:rFonts w:hint="eastAsia"/>
          <w:color w:val="auto"/>
          <w:highlight w:val="none"/>
        </w:rPr>
      </w:pPr>
    </w:p>
    <w:p w14:paraId="5D5A4B8A">
      <w:pPr>
        <w:autoSpaceDE w:val="0"/>
        <w:autoSpaceDN w:val="0"/>
        <w:adjustRightInd w:val="0"/>
        <w:spacing w:line="420" w:lineRule="exact"/>
        <w:jc w:val="center"/>
        <w:outlineLvl w:val="9"/>
        <w:rPr>
          <w:rFonts w:hint="eastAsia" w:ascii="宋体" w:hAnsi="宋体" w:eastAsia="宋体" w:cs="宋体"/>
          <w:b/>
          <w:color w:val="auto"/>
          <w:kern w:val="0"/>
          <w:sz w:val="21"/>
          <w:szCs w:val="21"/>
          <w:highlight w:val="none"/>
        </w:rPr>
      </w:pPr>
    </w:p>
    <w:p w14:paraId="5C245530">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br w:type="page"/>
      </w:r>
    </w:p>
    <w:p w14:paraId="4D463C1B">
      <w:pPr>
        <w:pStyle w:val="3"/>
        <w:spacing w:line="360" w:lineRule="auto"/>
        <w:jc w:val="center"/>
        <w:rPr>
          <w:rFonts w:hint="eastAsia" w:ascii="宋体" w:hAnsi="宋体" w:eastAsia="宋体" w:cs="宋体"/>
          <w:color w:val="auto"/>
          <w:szCs w:val="32"/>
          <w:highlight w:val="none"/>
          <w:lang w:val="en-US" w:eastAsia="zh-CN"/>
        </w:rPr>
      </w:pPr>
      <w:bookmarkStart w:id="164" w:name="_Toc31329"/>
      <w:r>
        <w:rPr>
          <w:rFonts w:hint="eastAsia" w:ascii="宋体" w:hAnsi="宋体" w:eastAsia="宋体" w:cs="宋体"/>
          <w:color w:val="auto"/>
          <w:szCs w:val="32"/>
          <w:highlight w:val="none"/>
          <w:lang w:val="en-US" w:eastAsia="zh-CN"/>
        </w:rPr>
        <w:t>第四章  合同条款及格式</w:t>
      </w:r>
      <w:bookmarkEnd w:id="152"/>
      <w:bookmarkEnd w:id="164"/>
    </w:p>
    <w:p w14:paraId="665FC604">
      <w:pPr>
        <w:tabs>
          <w:tab w:val="left" w:pos="4341"/>
        </w:tabs>
        <w:jc w:val="center"/>
        <w:outlineLvl w:val="1"/>
        <w:rPr>
          <w:rFonts w:hint="eastAsia" w:ascii="宋体" w:hAnsi="宋体" w:eastAsia="宋体" w:cs="宋体"/>
          <w:color w:val="auto"/>
          <w:sz w:val="28"/>
          <w:szCs w:val="28"/>
          <w:highlight w:val="none"/>
        </w:rPr>
      </w:pPr>
      <w:bookmarkStart w:id="165" w:name="_Toc31449"/>
      <w:r>
        <w:rPr>
          <w:rFonts w:hint="eastAsia" w:ascii="宋体" w:hAnsi="宋体" w:eastAsia="宋体" w:cs="宋体"/>
          <w:color w:val="auto"/>
          <w:sz w:val="28"/>
          <w:szCs w:val="28"/>
          <w:highlight w:val="none"/>
        </w:rPr>
        <w:t>第一节  通用合同条款</w:t>
      </w:r>
      <w:bookmarkEnd w:id="165"/>
    </w:p>
    <w:p w14:paraId="4FACD673">
      <w:pPr>
        <w:spacing w:before="62"/>
        <w:ind w:firstLine="420" w:firstLineChars="20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“通用合同条款”采用中华人民共和国交通运输部《公路工程标准施工招标文件 （2018年版）》的“通用合同条款”。</w:t>
      </w:r>
      <w:bookmarkStart w:id="166" w:name="_bookmark157"/>
      <w:bookmarkEnd w:id="166"/>
    </w:p>
    <w:p w14:paraId="07C531C1">
      <w:pPr>
        <w:spacing w:before="62"/>
        <w:rPr>
          <w:rFonts w:hint="eastAsia" w:ascii="宋体" w:hAnsi="宋体" w:eastAsia="宋体" w:cs="宋体"/>
          <w:color w:val="auto"/>
          <w:highlight w:val="none"/>
        </w:rPr>
      </w:pPr>
    </w:p>
    <w:p w14:paraId="6078A2D3">
      <w:pPr>
        <w:spacing w:before="62"/>
        <w:rPr>
          <w:rFonts w:hint="eastAsia" w:ascii="宋体" w:hAnsi="宋体" w:eastAsia="宋体" w:cs="宋体"/>
          <w:color w:val="auto"/>
          <w:highlight w:val="none"/>
        </w:rPr>
      </w:pPr>
    </w:p>
    <w:p w14:paraId="5A94FB22">
      <w:pPr>
        <w:numPr>
          <w:ilvl w:val="0"/>
          <w:numId w:val="2"/>
        </w:numPr>
        <w:spacing w:before="62"/>
        <w:jc w:val="center"/>
        <w:outlineLvl w:val="1"/>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bookmarkStart w:id="167" w:name="_Toc19810"/>
      <w:r>
        <w:rPr>
          <w:rFonts w:hint="eastAsia" w:ascii="宋体" w:hAnsi="宋体" w:eastAsia="宋体" w:cs="宋体"/>
          <w:color w:val="auto"/>
          <w:sz w:val="28"/>
          <w:szCs w:val="28"/>
          <w:highlight w:val="none"/>
        </w:rPr>
        <w:t>专用合同条款</w:t>
      </w:r>
      <w:bookmarkEnd w:id="167"/>
    </w:p>
    <w:p w14:paraId="02D19F57">
      <w:pPr>
        <w:spacing w:before="62"/>
        <w:jc w:val="center"/>
        <w:outlineLvl w:val="2"/>
        <w:rPr>
          <w:rFonts w:hint="eastAsia" w:ascii="宋体" w:hAnsi="宋体" w:eastAsia="宋体" w:cs="宋体"/>
          <w:color w:val="auto"/>
          <w:sz w:val="28"/>
          <w:szCs w:val="28"/>
          <w:highlight w:val="none"/>
        </w:rPr>
      </w:pPr>
      <w:bookmarkStart w:id="168" w:name="_Toc13455"/>
      <w:r>
        <w:rPr>
          <w:rFonts w:hint="eastAsia" w:ascii="宋体" w:hAnsi="宋体" w:eastAsia="宋体" w:cs="宋体"/>
          <w:color w:val="auto"/>
          <w:sz w:val="28"/>
          <w:szCs w:val="28"/>
          <w:highlight w:val="none"/>
        </w:rPr>
        <w:t>A.公路工程专用合同条款</w:t>
      </w:r>
      <w:bookmarkEnd w:id="168"/>
    </w:p>
    <w:p w14:paraId="2D2B8129">
      <w:pPr>
        <w:spacing w:before="62"/>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“专用合同条款”采用中华人民共和国交通运输部《公路工程标准施工招标文件 （2018年版）》的“专用合同条款”。</w:t>
      </w:r>
    </w:p>
    <w:p w14:paraId="2C430C1C">
      <w:pPr>
        <w:spacing w:before="62"/>
        <w:rPr>
          <w:rFonts w:hint="eastAsia" w:ascii="宋体" w:hAnsi="宋体" w:eastAsia="宋体" w:cs="宋体"/>
          <w:color w:val="auto"/>
          <w:sz w:val="24"/>
          <w:highlight w:val="none"/>
        </w:rPr>
      </w:pPr>
    </w:p>
    <w:p w14:paraId="2EA34FD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1．一般约定</w:t>
      </w:r>
      <w:bookmarkStart w:id="169" w:name="_Toc234382842"/>
    </w:p>
    <w:p w14:paraId="2B087D5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1.1词语定义</w:t>
      </w:r>
      <w:bookmarkEnd w:id="169"/>
    </w:p>
    <w:p w14:paraId="755936B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1.1.1合同</w:t>
      </w:r>
    </w:p>
    <w:p w14:paraId="5CE1968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第1.1.1.6目细化为：</w:t>
      </w:r>
    </w:p>
    <w:p w14:paraId="55DADE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技术规范：为本合同所约定的技术标准和要求，是合同文件的组成部分。通用合同条款中“技术标准和要求”一词具有相同含义。</w:t>
      </w:r>
    </w:p>
    <w:p w14:paraId="780E038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第1.1.1.8目细化为：</w:t>
      </w:r>
    </w:p>
    <w:p w14:paraId="0ED0124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14:paraId="043C0C0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本项补充第1.1.1.10目：</w:t>
      </w:r>
    </w:p>
    <w:p w14:paraId="751D919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1.1.1.10补遗书：指发出招标文件之后由招标人向已取得招标文件的投标人发出的、编号的对招标文件所作的澄清、修改书。</w:t>
      </w:r>
    </w:p>
    <w:p w14:paraId="6E445A2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1.1.2合同当事人和人员</w:t>
      </w:r>
    </w:p>
    <w:p w14:paraId="51E699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本项补充第1.1.2.8目：</w:t>
      </w:r>
    </w:p>
    <w:p w14:paraId="161E63D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1.1.2.8 承包人项目总工：指由承包人书面委派常驻现场负责管理本合同工程的总工程师或技术总负责人。</w:t>
      </w:r>
    </w:p>
    <w:p w14:paraId="3C34A96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工程和设备</w:t>
      </w:r>
    </w:p>
    <w:p w14:paraId="0C37E9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第1.1.3.4目细化为：</w:t>
      </w:r>
    </w:p>
    <w:p w14:paraId="6BDE2F9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单位工程：指在建设项目中，根据签订的合同，具有独立施工条件的工程。</w:t>
      </w:r>
    </w:p>
    <w:p w14:paraId="1C6AC1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1.1.3.10目细化为：</w:t>
      </w:r>
    </w:p>
    <w:p w14:paraId="6FE82FF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永久占地：指为实施本合同工程而需要的一切永久占用的土地，包括公路两侧路权范围内的用地。</w:t>
      </w:r>
    </w:p>
    <w:p w14:paraId="5D2D412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第1.1.3.11目细化为：</w:t>
      </w:r>
    </w:p>
    <w:p w14:paraId="27FF58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临时占地：指为实施本合同工程而需要的一切临时占用的土地，包括施工所用的临时支线、便道、便桥和现场的临时出入通道，以及生产（办公）、生活等临时设施用地等。</w:t>
      </w:r>
    </w:p>
    <w:p w14:paraId="794EDA1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本项补充第1.1.3.12目、第1.1.3.13目：</w:t>
      </w:r>
    </w:p>
    <w:p w14:paraId="387F61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1.1.3.12 分部工程：指在单位工程中，按结构部位、路段长度及施工特点或施工任务划分的若干个工程。</w:t>
      </w:r>
    </w:p>
    <w:p w14:paraId="34BD820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1.1.3.13 分项工程：指在分部工程中，按不同的施工方法、材料、工序及路段长度等划分的若干个过程。</w:t>
      </w:r>
    </w:p>
    <w:p w14:paraId="5CAE0D2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040B79F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本项补充第1.1.6.2目～1.1.6.9目：</w:t>
      </w:r>
    </w:p>
    <w:p w14:paraId="054BFE3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1.1.6.2 竣工验收：指《公路工程竣（交）工验收办法》中的竣工验收。通用合同条款中“国家验收”一词具有相同含义。</w:t>
      </w:r>
    </w:p>
    <w:p w14:paraId="7414C9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1.1.6.3 交工：指《公路工程竣（交）工验收办法》中的交工验收。通用合同条款中“竣工”一词具有相同含义。</w:t>
      </w:r>
    </w:p>
    <w:p w14:paraId="55D8F9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1.1.6.4交工验收：指《公路工程竣（交）工验收办法》中的交工验收。通用合同条款中“竣工验收”一词具有相同含义。</w:t>
      </w:r>
    </w:p>
    <w:p w14:paraId="0C5C250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1.1.6.5交工验收证书：指《公路工程竣（交）工验收办法》中的交工验收证书。通用合同条款中“工程接收证书”一词具有相同含义。</w:t>
      </w:r>
    </w:p>
    <w:p w14:paraId="5133515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1.1.6.6转包：指承包人违反法律和不履行合同规定的责任和义务，将中标工程全部委托或以专业分包的名义将中标工程肢解后全部委托给其他施工企业施工的行为。</w:t>
      </w:r>
    </w:p>
    <w:p w14:paraId="54BC46A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1.1.6.7专业分包：指承包人与具有相应资质的施工企业签订专业分包合同，由分包人承担承包人委托的分部工程、分项工程或适合专业化队伍施工的其他工程，整体结算，并能独立控制工程质量、施工进度、材料采购、生产安全的施工行为。</w:t>
      </w:r>
    </w:p>
    <w:p w14:paraId="2A22784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1.1.6.8劳务分包：指承包人与具有劳务分包资质的劳务企业签订劳务分包，由劳务企业提供劳务人员及机具，由承包人统一组织施工，统一控制工程质量、施工进度、材料采购、生产安全的施工行为。</w:t>
      </w:r>
    </w:p>
    <w:p w14:paraId="211CC5F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1.1.6.9雇佣民工：指承包人与具有相应劳动能力的自然人签订劳动合同，由承包人统一组织管理，从事分项工程施工或配套工程施工的行为。</w:t>
      </w:r>
    </w:p>
    <w:p w14:paraId="3EF807A3">
      <w:pPr>
        <w:adjustRightInd w:val="0"/>
        <w:spacing w:line="360" w:lineRule="auto"/>
        <w:ind w:firstLine="420" w:firstLineChars="200"/>
        <w:rPr>
          <w:rFonts w:hint="eastAsia" w:ascii="宋体" w:hAnsi="宋体" w:eastAsia="宋体" w:cs="宋体"/>
          <w:color w:val="auto"/>
          <w:sz w:val="21"/>
          <w:szCs w:val="21"/>
          <w:highlight w:val="none"/>
        </w:rPr>
      </w:pPr>
      <w:bookmarkStart w:id="170" w:name="_Toc234382843"/>
      <w:r>
        <w:rPr>
          <w:rFonts w:hint="eastAsia" w:ascii="宋体" w:hAnsi="宋体" w:eastAsia="宋体" w:cs="宋体"/>
          <w:color w:val="auto"/>
          <w:sz w:val="21"/>
          <w:szCs w:val="21"/>
          <w:highlight w:val="none"/>
        </w:rPr>
        <w:t>1.4合同文件的优先顺序</w:t>
      </w:r>
      <w:bookmarkEnd w:id="170"/>
    </w:p>
    <w:p w14:paraId="3684486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54FB85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组成合同的各项文件应互相解释，互为说明。除项目专用合同条款另有约定外，解释合同文件的优先顺序如下：</w:t>
      </w:r>
    </w:p>
    <w:p w14:paraId="3E87D8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（1）合同协议书及各种合同附件（含评标期间和合同谈判过程中的澄清文件和补充资料）；</w:t>
      </w:r>
    </w:p>
    <w:p w14:paraId="078E657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5D065F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（3）投标函及投标函附录；</w:t>
      </w:r>
    </w:p>
    <w:p w14:paraId="6B35FD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（4）项目专用合同条款；</w:t>
      </w:r>
    </w:p>
    <w:p w14:paraId="76645CD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（5）公路工程专用合同条款；</w:t>
      </w:r>
    </w:p>
    <w:p w14:paraId="30BE4B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（6）通用合同条款；</w:t>
      </w:r>
    </w:p>
    <w:p w14:paraId="7552E15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（7）工程量清单计量规则</w:t>
      </w:r>
    </w:p>
    <w:p w14:paraId="654500B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（8）技术规范；</w:t>
      </w:r>
    </w:p>
    <w:p w14:paraId="364C518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（9）图纸；</w:t>
      </w:r>
    </w:p>
    <w:p w14:paraId="309260C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（10）已标价工程量清单；</w:t>
      </w:r>
    </w:p>
    <w:p w14:paraId="424B021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（11）承包人有关人员、设备投入的承诺及投标文件中的其他内容；</w:t>
      </w:r>
    </w:p>
    <w:p w14:paraId="0EEAF6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（12）其他合同文件。</w:t>
      </w:r>
    </w:p>
    <w:p w14:paraId="2CA81611">
      <w:pPr>
        <w:adjustRightInd w:val="0"/>
        <w:spacing w:line="360" w:lineRule="auto"/>
        <w:ind w:firstLine="420" w:firstLineChars="200"/>
        <w:rPr>
          <w:rFonts w:hint="eastAsia" w:ascii="宋体" w:hAnsi="宋体" w:eastAsia="宋体" w:cs="宋体"/>
          <w:color w:val="auto"/>
          <w:sz w:val="21"/>
          <w:szCs w:val="21"/>
          <w:highlight w:val="none"/>
        </w:rPr>
      </w:pPr>
      <w:bookmarkStart w:id="171" w:name="_Toc234382844"/>
      <w:r>
        <w:rPr>
          <w:rFonts w:hint="eastAsia" w:ascii="宋体" w:hAnsi="宋体" w:eastAsia="宋体" w:cs="宋体"/>
          <w:color w:val="auto"/>
          <w:sz w:val="21"/>
          <w:szCs w:val="21"/>
          <w:highlight w:val="none"/>
        </w:rPr>
        <w:t>1.5合同协议书</w:t>
      </w:r>
      <w:bookmarkEnd w:id="171"/>
    </w:p>
    <w:p w14:paraId="11F4BC8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25AED6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制备本合同文件的费用由发包人承担。在合同协议书签订并生效之前，投标函和中标通知书将对双方具有约束力。</w:t>
      </w:r>
    </w:p>
    <w:p w14:paraId="34E4E958">
      <w:pPr>
        <w:adjustRightInd w:val="0"/>
        <w:spacing w:line="360" w:lineRule="auto"/>
        <w:ind w:firstLine="420" w:firstLineChars="200"/>
        <w:rPr>
          <w:rFonts w:hint="eastAsia" w:ascii="宋体" w:hAnsi="宋体" w:eastAsia="宋体" w:cs="宋体"/>
          <w:color w:val="auto"/>
          <w:sz w:val="21"/>
          <w:szCs w:val="21"/>
          <w:highlight w:val="none"/>
        </w:rPr>
      </w:pPr>
      <w:bookmarkStart w:id="172" w:name="_Toc234382845"/>
      <w:r>
        <w:rPr>
          <w:rFonts w:hint="eastAsia" w:ascii="宋体" w:hAnsi="宋体" w:eastAsia="宋体" w:cs="宋体"/>
          <w:color w:val="auto"/>
          <w:sz w:val="21"/>
          <w:szCs w:val="21"/>
          <w:highlight w:val="none"/>
        </w:rPr>
        <w:t>1.6图纸和承包人文件</w:t>
      </w:r>
      <w:bookmarkEnd w:id="172"/>
    </w:p>
    <w:p w14:paraId="2FFA79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图纸的提供</w:t>
      </w:r>
    </w:p>
    <w:p w14:paraId="430542A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6FD1F9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在发出中标通知书之后42天内，向承包人免费提供由发包人或其委托的设计单位设计的施工图纸、技术规范和其他技术资料2份，并向承包人进行技术交底。承包人需要更多份数时，应自费复制。由于发包人未按时提供图纸造成工期延误的，按第11.3款的约定办理。</w:t>
      </w:r>
    </w:p>
    <w:p w14:paraId="4570174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1.6.2承包人提供的文件</w:t>
      </w:r>
    </w:p>
    <w:p w14:paraId="2EC4CD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53CA383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有下列情形之一的，承包人应免费向监理人提交相关部分工程的施工图纸3份，并附必要的计算书、技术资料，或施工工艺图、设备安装图及安装设备的使用和维护手册各2份供监理人批准。</w:t>
      </w:r>
    </w:p>
    <w:p w14:paraId="0ED2AFE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（1）为使第1.6.1项所述的施工图纸适合于经现场测量后的纵、横断面；</w:t>
      </w:r>
    </w:p>
    <w:p w14:paraId="00148B5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（2）为使第1.6.1项所述的施工图纸适合于现场具体地形；</w:t>
      </w:r>
    </w:p>
    <w:p w14:paraId="10E7749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（3）为使第1.6.1项所述的施工图纸适合于因尺寸与位置变化而引起局部变更；</w:t>
      </w:r>
    </w:p>
    <w:p w14:paraId="65B10C4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（4）由于合同要求与施工需要。</w:t>
      </w:r>
    </w:p>
    <w:p w14:paraId="1268A7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此类图纸应按监理人规定的格式和图幅绘制。监理人在收到由承包人绘制的上述工程、工艺图纸、计算书和有关技术资料后14天内应予批准或提出修改要求，承包人应按监理人提出的要求做出修改，重新向监理人提交，监理人应在7天内批准或提出进一步的修改意见。</w:t>
      </w:r>
    </w:p>
    <w:p w14:paraId="644EDC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1.6.4图纸的错误</w:t>
      </w:r>
    </w:p>
    <w:p w14:paraId="67FDA62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0E9FD9A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承包人在查阅合同文件或在本合同工程实施过程中，发现有关的工程设计、技术规范、图纸或其他资料中的任何差错、遗漏或缺陷后，应及时通知监理人。监理人接到该通知后，应立即就此做出决定，并通知承包人和发包人。</w:t>
      </w:r>
    </w:p>
    <w:p w14:paraId="7B9856A6">
      <w:pPr>
        <w:adjustRightInd w:val="0"/>
        <w:spacing w:line="360" w:lineRule="auto"/>
        <w:ind w:firstLine="420" w:firstLineChars="200"/>
        <w:rPr>
          <w:rFonts w:hint="eastAsia" w:ascii="宋体" w:hAnsi="宋体" w:eastAsia="宋体" w:cs="宋体"/>
          <w:color w:val="auto"/>
          <w:sz w:val="21"/>
          <w:szCs w:val="21"/>
          <w:highlight w:val="none"/>
        </w:rPr>
      </w:pPr>
      <w:bookmarkStart w:id="173" w:name="_Toc234382846"/>
      <w:r>
        <w:rPr>
          <w:rFonts w:hint="eastAsia" w:ascii="宋体" w:hAnsi="宋体" w:eastAsia="宋体" w:cs="宋体"/>
          <w:color w:val="auto"/>
          <w:sz w:val="21"/>
          <w:szCs w:val="21"/>
          <w:highlight w:val="none"/>
        </w:rPr>
        <w:t>1.9严禁贿赂</w:t>
      </w:r>
      <w:bookmarkEnd w:id="173"/>
    </w:p>
    <w:p w14:paraId="0294AB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5C52FB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上述行为造成的工程损耗害、发包人的经济损失等承担一切责任，并予赔偿。情节严重者，发包人有权终止承包人在本合同项下的承包。</w:t>
      </w:r>
    </w:p>
    <w:p w14:paraId="44497FF6">
      <w:pPr>
        <w:adjustRightInd w:val="0"/>
        <w:spacing w:line="360" w:lineRule="auto"/>
        <w:ind w:firstLine="420" w:firstLineChars="200"/>
        <w:rPr>
          <w:rFonts w:hint="eastAsia" w:ascii="宋体" w:hAnsi="宋体" w:eastAsia="宋体" w:cs="宋体"/>
          <w:color w:val="auto"/>
          <w:sz w:val="21"/>
          <w:szCs w:val="21"/>
          <w:highlight w:val="none"/>
        </w:rPr>
      </w:pPr>
      <w:bookmarkStart w:id="174" w:name="_Toc234382847"/>
      <w:r>
        <w:rPr>
          <w:rFonts w:hint="eastAsia" w:ascii="宋体" w:hAnsi="宋体" w:eastAsia="宋体" w:cs="宋体"/>
          <w:color w:val="auto"/>
          <w:sz w:val="21"/>
          <w:szCs w:val="21"/>
          <w:highlight w:val="none"/>
        </w:rPr>
        <w:t>2．发包人义务</w:t>
      </w:r>
      <w:bookmarkEnd w:id="174"/>
    </w:p>
    <w:p w14:paraId="42A33038">
      <w:pPr>
        <w:adjustRightInd w:val="0"/>
        <w:spacing w:line="360" w:lineRule="auto"/>
        <w:ind w:firstLine="420" w:firstLineChars="200"/>
        <w:rPr>
          <w:rFonts w:hint="eastAsia" w:ascii="宋体" w:hAnsi="宋体" w:eastAsia="宋体" w:cs="宋体"/>
          <w:color w:val="auto"/>
          <w:sz w:val="21"/>
          <w:szCs w:val="21"/>
          <w:highlight w:val="none"/>
        </w:rPr>
      </w:pPr>
      <w:bookmarkStart w:id="175" w:name="_Toc234382848"/>
      <w:r>
        <w:rPr>
          <w:rFonts w:hint="eastAsia" w:ascii="宋体" w:hAnsi="宋体" w:eastAsia="宋体" w:cs="宋体"/>
          <w:color w:val="auto"/>
          <w:sz w:val="21"/>
          <w:szCs w:val="21"/>
          <w:highlight w:val="none"/>
        </w:rPr>
        <w:t>2.3提供施工场地</w:t>
      </w:r>
      <w:bookmarkEnd w:id="175"/>
    </w:p>
    <w:p w14:paraId="0AC30E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7A846B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负责办理永久占地的征用及与之有关的拆迁赔偿手续并承担相关费用。承包人在按第10条规定提交施工进度计划的同时，应向监理人提交一份按施工先后次序所需的永久占地计划。监理人应在收到此计划后的14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及拆迁赔偿手续，通知承包人使用，以使承包人能够连续不间断地施工。由于承包人施工考虑不周或措施不当等原因而造成的超计划占地或拆迁等发生的征用和赔偿费用，应由承包人承担。</w:t>
      </w:r>
    </w:p>
    <w:p w14:paraId="0606655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14:paraId="60B4C21F">
      <w:pPr>
        <w:adjustRightInd w:val="0"/>
        <w:spacing w:line="360" w:lineRule="auto"/>
        <w:ind w:firstLine="420" w:firstLineChars="200"/>
        <w:rPr>
          <w:rFonts w:hint="eastAsia" w:ascii="宋体" w:hAnsi="宋体" w:eastAsia="宋体" w:cs="宋体"/>
          <w:color w:val="auto"/>
          <w:sz w:val="21"/>
          <w:szCs w:val="21"/>
          <w:highlight w:val="none"/>
        </w:rPr>
      </w:pPr>
      <w:bookmarkStart w:id="176" w:name="_Toc234382849"/>
      <w:r>
        <w:rPr>
          <w:rFonts w:hint="eastAsia" w:ascii="宋体" w:hAnsi="宋体" w:eastAsia="宋体" w:cs="宋体"/>
          <w:color w:val="auto"/>
          <w:sz w:val="21"/>
          <w:szCs w:val="21"/>
          <w:highlight w:val="none"/>
        </w:rPr>
        <w:t>3．监理人</w:t>
      </w:r>
      <w:bookmarkEnd w:id="176"/>
    </w:p>
    <w:p w14:paraId="4E69B672">
      <w:pPr>
        <w:adjustRightInd w:val="0"/>
        <w:spacing w:line="360" w:lineRule="auto"/>
        <w:ind w:firstLine="420" w:firstLineChars="200"/>
        <w:rPr>
          <w:rFonts w:hint="eastAsia" w:ascii="宋体" w:hAnsi="宋体" w:eastAsia="宋体" w:cs="宋体"/>
          <w:color w:val="auto"/>
          <w:sz w:val="21"/>
          <w:szCs w:val="21"/>
          <w:highlight w:val="none"/>
        </w:rPr>
      </w:pPr>
      <w:bookmarkStart w:id="177" w:name="_Toc234382850"/>
      <w:r>
        <w:rPr>
          <w:rFonts w:hint="eastAsia" w:ascii="宋体" w:hAnsi="宋体" w:eastAsia="宋体" w:cs="宋体"/>
          <w:color w:val="auto"/>
          <w:sz w:val="21"/>
          <w:szCs w:val="21"/>
          <w:highlight w:val="none"/>
        </w:rPr>
        <w:t>3.1监理人的职责和权力</w:t>
      </w:r>
      <w:bookmarkEnd w:id="177"/>
    </w:p>
    <w:p w14:paraId="464AB2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第3.1.1项补充：</w:t>
      </w:r>
    </w:p>
    <w:p w14:paraId="5C1673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监理人在行使下列权力前需要经发包人事先批准：</w:t>
      </w:r>
    </w:p>
    <w:p w14:paraId="630E41D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（1）根据第4.3款，同意分包本工程的某些非主体和非关键性工作；</w:t>
      </w:r>
    </w:p>
    <w:p w14:paraId="3306272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（2）确定第4.11款下产生的费用增加额；</w:t>
      </w:r>
    </w:p>
    <w:p w14:paraId="4B9B63E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（3）根据第11.1款、第12.3款、第12.4款发布开工通知、暂停施工指示或复工通知；</w:t>
      </w:r>
    </w:p>
    <w:p w14:paraId="33A3C82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（4）决定第11.3款、第11.4款下的工期延长；</w:t>
      </w:r>
    </w:p>
    <w:p w14:paraId="4D56EA5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（5）审查批准技术规范或设计的变更；</w:t>
      </w:r>
    </w:p>
    <w:p w14:paraId="151BCE0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（6）根据第15.3款发出的变更指令，其单项工程变更或累计变更涉及的金额超过了项目专用合同条款数据表规定的金额；</w:t>
      </w:r>
    </w:p>
    <w:p w14:paraId="7857022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（7）确定第15.4款下变更工作的单价；</w:t>
      </w:r>
    </w:p>
    <w:p w14:paraId="24489BD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（8）按照第15.6款决定有关暂列金额的使用；</w:t>
      </w:r>
    </w:p>
    <w:p w14:paraId="49FCF30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（9）确定第15.8款项下的暂估价金额；</w:t>
      </w:r>
    </w:p>
    <w:p w14:paraId="23B7962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（10）确定第23.1款项下的索赔额。</w:t>
      </w:r>
    </w:p>
    <w:p w14:paraId="3BAA3D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发生紧急情况，监理人认为将造成人员伤亡，或危及本工程或邻近的财产需立即采取行动，监理人有权在未征得发包人的批准的情况下发布处理紧急情况所比需的指令，承包人应予执行，由此造成的费用增加由监理人按第3.5款商定或确定。</w:t>
      </w:r>
    </w:p>
    <w:p w14:paraId="5BDFFC10">
      <w:pPr>
        <w:adjustRightInd w:val="0"/>
        <w:spacing w:line="360" w:lineRule="auto"/>
        <w:ind w:firstLine="420" w:firstLineChars="200"/>
        <w:rPr>
          <w:rFonts w:hint="eastAsia" w:ascii="宋体" w:hAnsi="宋体" w:eastAsia="宋体" w:cs="宋体"/>
          <w:color w:val="auto"/>
          <w:sz w:val="21"/>
          <w:szCs w:val="21"/>
          <w:highlight w:val="none"/>
        </w:rPr>
      </w:pPr>
      <w:bookmarkStart w:id="178" w:name="_Toc234382851"/>
      <w:r>
        <w:rPr>
          <w:rFonts w:hint="eastAsia" w:ascii="宋体" w:hAnsi="宋体" w:eastAsia="宋体" w:cs="宋体"/>
          <w:color w:val="auto"/>
          <w:sz w:val="21"/>
          <w:szCs w:val="21"/>
          <w:highlight w:val="none"/>
        </w:rPr>
        <w:t>3.5商定或确定</w:t>
      </w:r>
      <w:bookmarkEnd w:id="178"/>
    </w:p>
    <w:p w14:paraId="2018AF9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第3.5.1 项补充：</w:t>
      </w:r>
    </w:p>
    <w:p w14:paraId="17E1344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如果这项商定或确定导致费用增加和（或）工期延长，或者涉及确定变更工程的价格，则总监理工程师在发出通知前，应征得发包人的同意。</w:t>
      </w:r>
    </w:p>
    <w:p w14:paraId="1D474E6D">
      <w:pPr>
        <w:adjustRightInd w:val="0"/>
        <w:spacing w:line="360" w:lineRule="auto"/>
        <w:ind w:firstLine="420" w:firstLineChars="200"/>
        <w:rPr>
          <w:rFonts w:hint="eastAsia" w:ascii="宋体" w:hAnsi="宋体" w:eastAsia="宋体" w:cs="宋体"/>
          <w:color w:val="auto"/>
          <w:sz w:val="21"/>
          <w:szCs w:val="21"/>
          <w:highlight w:val="none"/>
        </w:rPr>
      </w:pPr>
      <w:bookmarkStart w:id="179" w:name="_Toc234382852"/>
      <w:r>
        <w:rPr>
          <w:rFonts w:hint="eastAsia" w:ascii="宋体" w:hAnsi="宋体" w:eastAsia="宋体" w:cs="宋体"/>
          <w:color w:val="auto"/>
          <w:sz w:val="21"/>
          <w:szCs w:val="21"/>
          <w:highlight w:val="none"/>
        </w:rPr>
        <w:t>4.承包人</w:t>
      </w:r>
      <w:bookmarkEnd w:id="179"/>
    </w:p>
    <w:p w14:paraId="6860ED33">
      <w:pPr>
        <w:adjustRightInd w:val="0"/>
        <w:spacing w:line="360" w:lineRule="auto"/>
        <w:ind w:firstLine="420" w:firstLineChars="200"/>
        <w:rPr>
          <w:rFonts w:hint="eastAsia" w:ascii="宋体" w:hAnsi="宋体" w:eastAsia="宋体" w:cs="宋体"/>
          <w:color w:val="auto"/>
          <w:sz w:val="21"/>
          <w:szCs w:val="21"/>
          <w:highlight w:val="none"/>
        </w:rPr>
      </w:pPr>
      <w:bookmarkStart w:id="180" w:name="_Toc234382853"/>
      <w:r>
        <w:rPr>
          <w:rFonts w:hint="eastAsia" w:ascii="宋体" w:hAnsi="宋体" w:eastAsia="宋体" w:cs="宋体"/>
          <w:color w:val="auto"/>
          <w:sz w:val="21"/>
          <w:szCs w:val="21"/>
          <w:highlight w:val="none"/>
        </w:rPr>
        <w:t>4.1承包工的一般义务</w:t>
      </w:r>
      <w:bookmarkEnd w:id="180"/>
    </w:p>
    <w:p w14:paraId="70E1B02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4.1.9工程的维护和照管</w:t>
      </w:r>
    </w:p>
    <w:p w14:paraId="0CE36C8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320067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14:paraId="5AEB4DA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承包人负责照管与维护期间，如果本工程或材料、设备等发生损失或损害，除不可抗力原因之外，承包人均应自费弥补，并达到合同要求。承包人还应对按第19条规定而实施作业的过程中由承包人造成的对工程的任何损失或损害负责。</w:t>
      </w:r>
    </w:p>
    <w:p w14:paraId="1C25ED6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4.1.10其他义务</w:t>
      </w:r>
    </w:p>
    <w:p w14:paraId="26C4358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3DEA17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（1）临时占地由承包人向当地政府土地管理部门申请，并办理租用手续，承包人按有关规定直接支付其费用，发包人对此将予以协调。</w:t>
      </w:r>
    </w:p>
    <w:p w14:paraId="2E6A9B8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临时占地范围包括承包人驻地的办公室、食堂、宿舍、道路和机械设备停放场、材料堆放场地、弃土场、预制场、拌合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中由承包人按总额报价。</w:t>
      </w:r>
    </w:p>
    <w:p w14:paraId="3C7D123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临时占地退还前，承包人应自费恢复到临时占地使用前的状态。如因承包人撤离后未按要求对临时占地进行恢复或虽进行了恢复但未达到使用标准的，将由发包人委托第三方对其恢复，所发生的费用将从应付给承包人的任何款项内扣除。</w:t>
      </w:r>
    </w:p>
    <w:p w14:paraId="0E234AB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除项目专用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67567FD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应严格遵守国家有关解决拖欠工程款和民工工资的法律、法规，及时支付工程中的材料、设备贷款及民工工资等费用。承包人不得以任何借口拖欠材料、设备贷款及民工工资等费用，如果出现此种现象，发包人有权代为支付其拖欠的材料、设备贷款及民工工资，并从应付给承包人的工程款中扣除相应款项。对恶意拖欠和拒不按计划支付的，作为不良记录纳入公路建设市场信用信息管理系统。</w:t>
      </w:r>
    </w:p>
    <w:p w14:paraId="469799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2C99C23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工资支付表应如实记录支付单位、支付时间、支付对象、支付数额、支付对象的身份证号和签字等信息。民工花名册和工资支付表应报监理人备查。</w:t>
      </w:r>
    </w:p>
    <w:p w14:paraId="1A7AF0EF">
      <w:pPr>
        <w:adjustRightInd w:val="0"/>
        <w:spacing w:line="360" w:lineRule="auto"/>
        <w:ind w:firstLine="420" w:firstLineChars="200"/>
        <w:rPr>
          <w:rFonts w:hint="eastAsia" w:ascii="宋体" w:hAnsi="宋体" w:eastAsia="宋体" w:cs="宋体"/>
          <w:color w:val="auto"/>
          <w:sz w:val="21"/>
          <w:szCs w:val="21"/>
          <w:highlight w:val="none"/>
        </w:rPr>
      </w:pPr>
      <w:bookmarkStart w:id="181" w:name="_Toc234382854"/>
      <w:r>
        <w:rPr>
          <w:rFonts w:hint="eastAsia" w:ascii="宋体" w:hAnsi="宋体" w:eastAsia="宋体" w:cs="宋体"/>
          <w:color w:val="auto"/>
          <w:sz w:val="21"/>
          <w:szCs w:val="21"/>
          <w:highlight w:val="none"/>
        </w:rPr>
        <w:t>（4）承包人应分解工程价款中的人工费用，在工程项目所在地银行开设民工工资（劳务费）专用账户，专项用于支付民工工资。发包人应按照本合同约定的比例 或承包人提供的人工费用数额，将应付工程款中的人工费单独拨付到承包人开设的 民工工资（劳务费）专用账户。民工工资（劳务费）专用账户应向人力资源社会保 障部门和交通运输主管部门备案，并委托开户银行负责日常监管，确保专款专用。 开户银行发现账户资金不足、被挪用等情况，应及时向人力资源社会保障部门和交 通运输主管部门报告。</w:t>
      </w:r>
    </w:p>
    <w:p w14:paraId="459F20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（5）承包人应严格执行招标文件技术规范对施工标准化提出的具体要求，结合 本单位施工能力和技术优势，积极釆取有利于标准化施工的组织方式和工艺流程， 加强工地建设、工艺控制、人员管理和内业资料管理，强化对施工一线操作人员的 培训，改善职工生产生活条件，与此相关的费用承包人应分摊在工程量清单中各子目的单价或价格之中，发包人不单独计列。</w:t>
      </w:r>
    </w:p>
    <w:p w14:paraId="1BBDF1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（6）承包人应履行项目专用合同条款约定的其他义务。</w:t>
      </w:r>
    </w:p>
    <w:p w14:paraId="180824D3">
      <w:pPr>
        <w:adjustRightInd w:val="0"/>
        <w:spacing w:line="360" w:lineRule="auto"/>
        <w:ind w:firstLine="420" w:firstLineChars="200"/>
        <w:rPr>
          <w:rFonts w:hint="eastAsia" w:ascii="宋体" w:hAnsi="宋体" w:eastAsia="宋体" w:cs="宋体"/>
          <w:color w:val="auto"/>
          <w:sz w:val="21"/>
          <w:szCs w:val="21"/>
          <w:highlight w:val="none"/>
        </w:rPr>
      </w:pPr>
      <w:bookmarkStart w:id="182" w:name="bookmark170"/>
      <w:r>
        <w:rPr>
          <w:rFonts w:hint="eastAsia" w:ascii="宋体" w:hAnsi="宋体" w:eastAsia="宋体" w:cs="宋体"/>
          <w:color w:val="auto"/>
          <w:sz w:val="21"/>
          <w:szCs w:val="21"/>
          <w:highlight w:val="none"/>
        </w:rPr>
        <w:t>4.2履约保证金</w:t>
      </w:r>
      <w:bookmarkEnd w:id="182"/>
    </w:p>
    <w:p w14:paraId="349C47D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52183C6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承包人应保证其履约保证金在发包人签发交工验收证书且承包人按照合同约定缴纳质量保证金前一直有效。发包人应在收到承包人缴纳的质量保证金后28天内把履约保证金退还给承包人。</w:t>
      </w:r>
    </w:p>
    <w:p w14:paraId="3C881F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承包人拒绝按照本合同约定缴纳质量保证金的，发包人有权从竣工付款证书中扣留相应金额作为质量保证金，或者直接将履约保证金金额用于保证承包人在缺陷责任期内履行缺陷修复义务。</w:t>
      </w:r>
    </w:p>
    <w:p w14:paraId="36C4F0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 分包</w:t>
      </w:r>
      <w:bookmarkEnd w:id="181"/>
    </w:p>
    <w:p w14:paraId="154BBD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第4.3.2项～第4.3.4项细化为：</w:t>
      </w:r>
    </w:p>
    <w:p w14:paraId="578ECD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4.3.2 承包人不得将工程关键性工作分包给第三人。经发包人同意，承包人可将工程的其他部分或工作分包给第三人。分包包括专业分包和劳务分包。</w:t>
      </w:r>
    </w:p>
    <w:p w14:paraId="0BB4CF5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4.3.3专业分包</w:t>
      </w:r>
    </w:p>
    <w:p w14:paraId="1621C4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在工程施工过程中，承包人进行专业分包必须遵守以下规定：</w:t>
      </w:r>
    </w:p>
    <w:p w14:paraId="2EA5D0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395CBD9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（2）专业分包人的资格能力（含安全生产能力）应与其分包工程的标准和规模相适应，且应当具备如下条件：</w:t>
      </w:r>
    </w:p>
    <w:p w14:paraId="3EBEE14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a.具有经工商登记的法人资格；</w:t>
      </w:r>
    </w:p>
    <w:p w14:paraId="1B6D1A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b.具有从事类似工程经验的管理与技术人员；</w:t>
      </w:r>
    </w:p>
    <w:p w14:paraId="0EFC16D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c.具有（自有或租赁）分包工程所需的施工设备。</w:t>
      </w:r>
    </w:p>
    <w:p w14:paraId="5B9A1E4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承包人应向监理人提交专业分包人的资格能力证明材料，经监理人审查并报发包人批准后，可以将相应专业工程分包给该专业分包人。</w:t>
      </w:r>
    </w:p>
    <w:p w14:paraId="721FDCC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（3）专业分包工程不得再次分包。</w:t>
      </w:r>
    </w:p>
    <w:p w14:paraId="0EBE52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 发包人备案。</w:t>
      </w:r>
    </w:p>
    <w:p w14:paraId="20AC83D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14:paraId="26EDCBA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应当建立健全相关分包管理制度和台账，对专业分包工程的质量、安全、进度和专业分包人的行为等实施全过程管理，按照本办法规定和合同约定对专业分包工程的实施向发包人负责，并承担赔偿责任。专业分包合同不免除承包合同中规定的承包人的责任或者义务。</w:t>
      </w:r>
    </w:p>
    <w:p w14:paraId="503FC5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（7）专业分包人应当依据专业分包合同的约定，组织分包工程的施工，并对分包工程的质量、安全和进度等实施有效控制。专业分包人对其分包的工程向承包人负责，并就所分包的工程向发包人承担连带责任。</w:t>
      </w:r>
    </w:p>
    <w:p w14:paraId="37C688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14:paraId="00E59F1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违反上述规定之一者属违规分包。</w:t>
      </w:r>
    </w:p>
    <w:p w14:paraId="5D51F0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4.3.4劳务分包</w:t>
      </w:r>
    </w:p>
    <w:p w14:paraId="1655719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在工程施工过程中，承包人进行劳务分包必须遵守以下规定：</w:t>
      </w:r>
    </w:p>
    <w:p w14:paraId="21D72E2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（1）劳务分包人应具有劳务分包资质。</w:t>
      </w:r>
    </w:p>
    <w:p w14:paraId="38A50DD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14:paraId="149E131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雇用的劳务作业应加入到承包人的施工班组统一管理。有关施工质量、施工安全、施工进度、环境保护、技术方案、试验检测、材料保管与供应、机械设备等都必须由承包人管理与调配，不得以包代管。</w:t>
      </w:r>
    </w:p>
    <w:p w14:paraId="6B540E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（4）承包人应当对劳务分包人员进行安全培训和管理，劳务分包人不得将其分包的劳务作业再次分包。</w:t>
      </w:r>
    </w:p>
    <w:p w14:paraId="1F49F9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违反上述规定之一者属违规分包。</w:t>
      </w:r>
    </w:p>
    <w:p w14:paraId="41760B70">
      <w:pPr>
        <w:adjustRightInd w:val="0"/>
        <w:spacing w:line="360" w:lineRule="auto"/>
        <w:ind w:firstLine="420" w:firstLineChars="200"/>
        <w:rPr>
          <w:rFonts w:hint="eastAsia" w:ascii="宋体" w:hAnsi="宋体" w:eastAsia="宋体" w:cs="宋体"/>
          <w:color w:val="auto"/>
          <w:sz w:val="21"/>
          <w:szCs w:val="21"/>
          <w:highlight w:val="none"/>
        </w:rPr>
      </w:pPr>
      <w:bookmarkStart w:id="183" w:name="_Toc234382855"/>
      <w:r>
        <w:rPr>
          <w:rFonts w:hint="eastAsia" w:ascii="宋体" w:hAnsi="宋体" w:eastAsia="宋体" w:cs="宋体"/>
          <w:color w:val="auto"/>
          <w:sz w:val="21"/>
          <w:szCs w:val="21"/>
          <w:highlight w:val="none"/>
        </w:rPr>
        <w:t>本款补充第4.3.6项、4.3.7项：</w:t>
      </w:r>
    </w:p>
    <w:p w14:paraId="573227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4.3.6发包人对承包人与分包人之间的法律与经济纠纷不承担任何责任和义务。</w:t>
      </w:r>
    </w:p>
    <w:p w14:paraId="604C9D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4.3.7本项目的各项分包工作均应遵守《公路工程施工分包管理办法》的有关规定。</w:t>
      </w:r>
    </w:p>
    <w:p w14:paraId="68EA949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4.4联合体</w:t>
      </w:r>
      <w:bookmarkEnd w:id="183"/>
    </w:p>
    <w:p w14:paraId="1404E2C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本款增加第4.4.4项：</w:t>
      </w:r>
    </w:p>
    <w:p w14:paraId="29D844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4.4.4未经发包人事先同意，联合体的组成与结构不得变动。</w:t>
      </w:r>
    </w:p>
    <w:p w14:paraId="3E31A8D8">
      <w:pPr>
        <w:adjustRightInd w:val="0"/>
        <w:spacing w:line="360" w:lineRule="auto"/>
        <w:ind w:firstLine="420" w:firstLineChars="200"/>
        <w:rPr>
          <w:rFonts w:hint="eastAsia" w:ascii="宋体" w:hAnsi="宋体" w:eastAsia="宋体" w:cs="宋体"/>
          <w:color w:val="auto"/>
          <w:sz w:val="21"/>
          <w:szCs w:val="21"/>
          <w:highlight w:val="none"/>
        </w:rPr>
      </w:pPr>
      <w:bookmarkStart w:id="184" w:name="_Toc234382856"/>
      <w:r>
        <w:rPr>
          <w:rFonts w:hint="eastAsia" w:ascii="宋体" w:hAnsi="宋体" w:eastAsia="宋体" w:cs="宋体"/>
          <w:color w:val="auto"/>
          <w:sz w:val="21"/>
          <w:szCs w:val="21"/>
          <w:highlight w:val="none"/>
        </w:rPr>
        <w:t>4.6承包人人员的管理</w:t>
      </w:r>
      <w:bookmarkEnd w:id="184"/>
    </w:p>
    <w:p w14:paraId="35BCA96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第4.6.3项细化为：</w:t>
      </w:r>
    </w:p>
    <w:p w14:paraId="51B4CD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3F8C21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本款补充第4.6.5项：</w:t>
      </w:r>
    </w:p>
    <w:p w14:paraId="731234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4.6.5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次增加的费用和（或）工期延误由承包人承担。</w:t>
      </w:r>
    </w:p>
    <w:p w14:paraId="1F8BB816">
      <w:pPr>
        <w:adjustRightInd w:val="0"/>
        <w:spacing w:line="360" w:lineRule="auto"/>
        <w:ind w:firstLine="420" w:firstLineChars="200"/>
        <w:rPr>
          <w:rFonts w:hint="eastAsia" w:ascii="宋体" w:hAnsi="宋体" w:eastAsia="宋体" w:cs="宋体"/>
          <w:color w:val="auto"/>
          <w:sz w:val="21"/>
          <w:szCs w:val="21"/>
          <w:highlight w:val="none"/>
        </w:rPr>
      </w:pPr>
      <w:bookmarkStart w:id="185" w:name="_Toc234382857"/>
      <w:r>
        <w:rPr>
          <w:rFonts w:hint="eastAsia" w:ascii="宋体" w:hAnsi="宋体" w:eastAsia="宋体" w:cs="宋体"/>
          <w:color w:val="auto"/>
          <w:sz w:val="21"/>
          <w:szCs w:val="21"/>
          <w:highlight w:val="none"/>
        </w:rPr>
        <w:t>4.7撤换承包人项目经理和其他人员</w:t>
      </w:r>
      <w:bookmarkEnd w:id="185"/>
    </w:p>
    <w:p w14:paraId="31B0E17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308780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2727AC50">
      <w:pPr>
        <w:adjustRightInd w:val="0"/>
        <w:spacing w:line="360" w:lineRule="auto"/>
        <w:ind w:firstLine="420" w:firstLineChars="200"/>
        <w:rPr>
          <w:rFonts w:hint="eastAsia" w:ascii="宋体" w:hAnsi="宋体" w:eastAsia="宋体" w:cs="宋体"/>
          <w:color w:val="auto"/>
          <w:sz w:val="21"/>
          <w:szCs w:val="21"/>
          <w:highlight w:val="none"/>
        </w:rPr>
      </w:pPr>
      <w:bookmarkStart w:id="186" w:name="_Toc234382858"/>
      <w:r>
        <w:rPr>
          <w:rFonts w:hint="eastAsia" w:ascii="宋体" w:hAnsi="宋体" w:eastAsia="宋体" w:cs="宋体"/>
          <w:color w:val="auto"/>
          <w:sz w:val="21"/>
          <w:szCs w:val="21"/>
          <w:highlight w:val="none"/>
        </w:rPr>
        <w:t>4.9工程价款应专款专用</w:t>
      </w:r>
      <w:bookmarkEnd w:id="186"/>
    </w:p>
    <w:p w14:paraId="48D737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1E2BEAC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14:paraId="72815574">
      <w:pPr>
        <w:adjustRightInd w:val="0"/>
        <w:spacing w:line="360" w:lineRule="auto"/>
        <w:ind w:firstLine="420" w:firstLineChars="200"/>
        <w:rPr>
          <w:rFonts w:hint="eastAsia" w:ascii="宋体" w:hAnsi="宋体" w:eastAsia="宋体" w:cs="宋体"/>
          <w:color w:val="auto"/>
          <w:sz w:val="21"/>
          <w:szCs w:val="21"/>
          <w:highlight w:val="none"/>
        </w:rPr>
      </w:pPr>
      <w:bookmarkStart w:id="187" w:name="_Toc234382859"/>
      <w:r>
        <w:rPr>
          <w:rFonts w:hint="eastAsia" w:ascii="宋体" w:hAnsi="宋体" w:eastAsia="宋体" w:cs="宋体"/>
          <w:color w:val="auto"/>
          <w:sz w:val="21"/>
          <w:szCs w:val="21"/>
          <w:highlight w:val="none"/>
        </w:rPr>
        <w:t>4.10承包人现场查勘</w:t>
      </w:r>
      <w:bookmarkEnd w:id="187"/>
    </w:p>
    <w:p w14:paraId="58B85E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第4.10.1项细化为：</w:t>
      </w:r>
    </w:p>
    <w:p w14:paraId="18746AF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的本合同工程的水文、地质、气象和料场分布、取土场、弃土场位置等资料均属于参考资料，并不构成合同文件的组成部分，承包人应对自己就上述资料的解释、推论和应用负责，发包人不对承包人据此做出的判断和决策承担任何责任。</w:t>
      </w:r>
    </w:p>
    <w:p w14:paraId="398E5069">
      <w:pPr>
        <w:adjustRightInd w:val="0"/>
        <w:spacing w:line="360" w:lineRule="auto"/>
        <w:ind w:firstLine="420" w:firstLineChars="200"/>
        <w:rPr>
          <w:rFonts w:hint="eastAsia" w:ascii="宋体" w:hAnsi="宋体" w:eastAsia="宋体" w:cs="宋体"/>
          <w:color w:val="auto"/>
          <w:sz w:val="21"/>
          <w:szCs w:val="21"/>
          <w:highlight w:val="none"/>
        </w:rPr>
      </w:pPr>
      <w:bookmarkStart w:id="188" w:name="_Toc234382860"/>
      <w:r>
        <w:rPr>
          <w:rFonts w:hint="eastAsia" w:ascii="宋体" w:hAnsi="宋体" w:eastAsia="宋体" w:cs="宋体"/>
          <w:color w:val="auto"/>
          <w:sz w:val="21"/>
          <w:szCs w:val="21"/>
          <w:highlight w:val="none"/>
        </w:rPr>
        <w:t>4.11不利物质条件</w:t>
      </w:r>
      <w:bookmarkEnd w:id="188"/>
    </w:p>
    <w:p w14:paraId="723F729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第4.11.2项细化为：</w:t>
      </w:r>
    </w:p>
    <w:p w14:paraId="3F2818F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4.11.2 承包人遇到不可预见的不利物质条件时，应采取适应不利物质条件的合理措施继续施工，并及时通知监理人。监理人应当及时发出指示，指示构成变更的，按第15条约定办理。监理人没有发出指示的，承包人因采取合理措施而增加的费用和（或）工期延误，由发包人承担。</w:t>
      </w:r>
    </w:p>
    <w:p w14:paraId="49EF8D6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本款补充第4.11.3项：</w:t>
      </w:r>
    </w:p>
    <w:p w14:paraId="3943DF4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4.11.3 可预见的不利物质条件</w:t>
      </w:r>
    </w:p>
    <w:p w14:paraId="5F29E1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（1）对于项目专用合同条款中已经明确指出的不利物质条件无论承包人是否有其经历和经验均视为承包人在接受合同时已预见其影响，并已在签约合同价中计入因其影响而可能发生的一切费用。</w:t>
      </w:r>
    </w:p>
    <w:p w14:paraId="079FF6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（2）对于项目专用合同条款未明确指出，但是在不利物质条件发生之前，监理人已经指示承包人有可能发生，但承包人未能及时采取有效措施，而导致的损失和后果均由承包人承担。</w:t>
      </w:r>
    </w:p>
    <w:p w14:paraId="2A3ED5D5">
      <w:pPr>
        <w:adjustRightInd w:val="0"/>
        <w:spacing w:line="360" w:lineRule="auto"/>
        <w:ind w:firstLine="420" w:firstLineChars="200"/>
        <w:rPr>
          <w:rFonts w:hint="eastAsia" w:ascii="宋体" w:hAnsi="宋体" w:eastAsia="宋体" w:cs="宋体"/>
          <w:color w:val="auto"/>
          <w:sz w:val="21"/>
          <w:szCs w:val="21"/>
          <w:highlight w:val="none"/>
        </w:rPr>
      </w:pPr>
      <w:bookmarkStart w:id="189" w:name="_Toc234382861"/>
      <w:r>
        <w:rPr>
          <w:rFonts w:hint="eastAsia" w:ascii="宋体" w:hAnsi="宋体" w:eastAsia="宋体" w:cs="宋体"/>
          <w:color w:val="auto"/>
          <w:sz w:val="21"/>
          <w:szCs w:val="21"/>
          <w:highlight w:val="none"/>
        </w:rPr>
        <w:t>补充第4.12、4.13款：</w:t>
      </w:r>
    </w:p>
    <w:p w14:paraId="663849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4.12投标文件的完备性</w:t>
      </w:r>
    </w:p>
    <w:p w14:paraId="04F288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双方一致认为，承包人在递交投标文件前，对本合同工程的投标文件和已标价工程量清单中开列的单价和总额价己查明是正确的和完备的。投标的单价和总额价应己包括了合同中规定的承包人的全部义务（包括提供货物、材料、设备、服务的义务，并包括了暂列金额和暂估价范围内的额外工作的义务）以及为实施和完成本合同工程及其缺陷修复所必需的一切工作和条件。</w:t>
      </w:r>
    </w:p>
    <w:p w14:paraId="6A6809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4.13开展党建工作要求</w:t>
      </w:r>
    </w:p>
    <w:p w14:paraId="7B524B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对于政府投资的国家高速公路项目，或承包人为国有控股或参股企业的，承包人应按规定在项目现场设立基层党组织。承包人为非国有控股或参股企业的，应创造条件使党员能够参加党组织生活并接受相应管理。</w:t>
      </w:r>
    </w:p>
    <w:p w14:paraId="328218C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bookmarkEnd w:id="189"/>
    <w:p w14:paraId="7DCCA180">
      <w:pPr>
        <w:adjustRightInd w:val="0"/>
        <w:spacing w:line="360" w:lineRule="auto"/>
        <w:ind w:firstLine="420" w:firstLineChars="200"/>
        <w:rPr>
          <w:rFonts w:hint="eastAsia" w:ascii="宋体" w:hAnsi="宋体" w:eastAsia="宋体" w:cs="宋体"/>
          <w:color w:val="auto"/>
          <w:sz w:val="21"/>
          <w:szCs w:val="21"/>
          <w:highlight w:val="none"/>
        </w:rPr>
      </w:pPr>
      <w:bookmarkStart w:id="190" w:name="_Toc234382862"/>
      <w:r>
        <w:rPr>
          <w:rFonts w:hint="eastAsia" w:ascii="宋体" w:hAnsi="宋体" w:eastAsia="宋体" w:cs="宋体"/>
          <w:color w:val="auto"/>
          <w:sz w:val="21"/>
          <w:szCs w:val="21"/>
          <w:highlight w:val="none"/>
        </w:rPr>
        <w:t>5．材料和工程设备</w:t>
      </w:r>
      <w:bookmarkEnd w:id="190"/>
    </w:p>
    <w:p w14:paraId="31D5F486">
      <w:pPr>
        <w:adjustRightInd w:val="0"/>
        <w:spacing w:line="360" w:lineRule="auto"/>
        <w:ind w:firstLine="420" w:firstLineChars="200"/>
        <w:rPr>
          <w:rFonts w:hint="eastAsia" w:ascii="宋体" w:hAnsi="宋体" w:eastAsia="宋体" w:cs="宋体"/>
          <w:color w:val="auto"/>
          <w:sz w:val="21"/>
          <w:szCs w:val="21"/>
          <w:highlight w:val="none"/>
        </w:rPr>
      </w:pPr>
      <w:bookmarkStart w:id="191" w:name="_Toc234382863"/>
      <w:r>
        <w:rPr>
          <w:rFonts w:hint="eastAsia" w:ascii="宋体" w:hAnsi="宋体" w:eastAsia="宋体" w:cs="宋体"/>
          <w:color w:val="auto"/>
          <w:sz w:val="21"/>
          <w:szCs w:val="21"/>
          <w:highlight w:val="none"/>
        </w:rPr>
        <w:t>5.2发包人提供的材料和工程设备</w:t>
      </w:r>
      <w:bookmarkEnd w:id="191"/>
    </w:p>
    <w:p w14:paraId="133D16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第5.2.3项补充：</w:t>
      </w:r>
    </w:p>
    <w:p w14:paraId="19E994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3C16ACD1">
      <w:pPr>
        <w:adjustRightInd w:val="0"/>
        <w:spacing w:line="360" w:lineRule="auto"/>
        <w:ind w:firstLine="420" w:firstLineChars="200"/>
        <w:rPr>
          <w:rFonts w:hint="eastAsia" w:ascii="宋体" w:hAnsi="宋体" w:eastAsia="宋体" w:cs="宋体"/>
          <w:color w:val="auto"/>
          <w:sz w:val="21"/>
          <w:szCs w:val="21"/>
          <w:highlight w:val="none"/>
        </w:rPr>
      </w:pPr>
      <w:bookmarkStart w:id="192" w:name="_Toc234382864"/>
      <w:r>
        <w:rPr>
          <w:rFonts w:hint="eastAsia" w:ascii="宋体" w:hAnsi="宋体" w:eastAsia="宋体" w:cs="宋体"/>
          <w:color w:val="auto"/>
          <w:sz w:val="21"/>
          <w:szCs w:val="21"/>
          <w:highlight w:val="none"/>
        </w:rPr>
        <w:t>6．施工设备和临时设施</w:t>
      </w:r>
      <w:bookmarkEnd w:id="192"/>
    </w:p>
    <w:p w14:paraId="166B1110">
      <w:pPr>
        <w:adjustRightInd w:val="0"/>
        <w:spacing w:line="360" w:lineRule="auto"/>
        <w:ind w:firstLine="420" w:firstLineChars="200"/>
        <w:rPr>
          <w:rFonts w:hint="eastAsia" w:ascii="宋体" w:hAnsi="宋体" w:eastAsia="宋体" w:cs="宋体"/>
          <w:color w:val="auto"/>
          <w:sz w:val="21"/>
          <w:szCs w:val="21"/>
          <w:highlight w:val="none"/>
        </w:rPr>
      </w:pPr>
      <w:bookmarkStart w:id="193" w:name="_Toc234382865"/>
      <w:r>
        <w:rPr>
          <w:rFonts w:hint="eastAsia" w:ascii="宋体" w:hAnsi="宋体" w:eastAsia="宋体" w:cs="宋体"/>
          <w:color w:val="auto"/>
          <w:sz w:val="21"/>
          <w:szCs w:val="21"/>
          <w:highlight w:val="none"/>
        </w:rPr>
        <w:t>6.1承包人提供的施工设备和临时设施</w:t>
      </w:r>
      <w:bookmarkEnd w:id="193"/>
    </w:p>
    <w:p w14:paraId="7142308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第6.1.2项约定为：</w:t>
      </w:r>
    </w:p>
    <w:p w14:paraId="2FFADD6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承包人应自行承担修建临时设施的费用，需要临时占地的，应由承包人按第4.1.10项（1）目的规定办理。</w:t>
      </w:r>
    </w:p>
    <w:p w14:paraId="6E82D9D0">
      <w:pPr>
        <w:adjustRightInd w:val="0"/>
        <w:spacing w:line="360" w:lineRule="auto"/>
        <w:ind w:firstLine="420" w:firstLineChars="200"/>
        <w:rPr>
          <w:rFonts w:hint="eastAsia" w:ascii="宋体" w:hAnsi="宋体" w:eastAsia="宋体" w:cs="宋体"/>
          <w:color w:val="auto"/>
          <w:sz w:val="21"/>
          <w:szCs w:val="21"/>
          <w:highlight w:val="none"/>
        </w:rPr>
      </w:pPr>
      <w:bookmarkStart w:id="194" w:name="_Toc234382866"/>
      <w:r>
        <w:rPr>
          <w:rFonts w:hint="eastAsia" w:ascii="宋体" w:hAnsi="宋体" w:eastAsia="宋体" w:cs="宋体"/>
          <w:color w:val="auto"/>
          <w:sz w:val="21"/>
          <w:szCs w:val="21"/>
          <w:highlight w:val="none"/>
        </w:rPr>
        <w:t>6.3要求承包人增加或更换施工设备</w:t>
      </w:r>
      <w:bookmarkEnd w:id="194"/>
    </w:p>
    <w:p w14:paraId="1703C0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6641DBE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承诺的施工设备必须按时达到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14:paraId="54B63D63">
      <w:pPr>
        <w:adjustRightInd w:val="0"/>
        <w:spacing w:line="360" w:lineRule="auto"/>
        <w:ind w:firstLine="420" w:firstLineChars="200"/>
        <w:rPr>
          <w:rFonts w:hint="eastAsia" w:ascii="宋体" w:hAnsi="宋体" w:eastAsia="宋体" w:cs="宋体"/>
          <w:color w:val="auto"/>
          <w:sz w:val="21"/>
          <w:szCs w:val="21"/>
          <w:highlight w:val="none"/>
        </w:rPr>
      </w:pPr>
      <w:bookmarkStart w:id="195" w:name="_Toc234382867"/>
      <w:r>
        <w:rPr>
          <w:rFonts w:hint="eastAsia" w:ascii="宋体" w:hAnsi="宋体" w:eastAsia="宋体" w:cs="宋体"/>
          <w:color w:val="auto"/>
          <w:sz w:val="21"/>
          <w:szCs w:val="21"/>
          <w:highlight w:val="none"/>
        </w:rPr>
        <w:t>7．交通运输</w:t>
      </w:r>
      <w:bookmarkEnd w:id="195"/>
    </w:p>
    <w:p w14:paraId="5DBD0E91">
      <w:pPr>
        <w:adjustRightInd w:val="0"/>
        <w:spacing w:line="360" w:lineRule="auto"/>
        <w:ind w:firstLine="420" w:firstLineChars="200"/>
        <w:rPr>
          <w:rFonts w:hint="eastAsia" w:ascii="宋体" w:hAnsi="宋体" w:eastAsia="宋体" w:cs="宋体"/>
          <w:color w:val="auto"/>
          <w:sz w:val="21"/>
          <w:szCs w:val="21"/>
          <w:highlight w:val="none"/>
        </w:rPr>
      </w:pPr>
      <w:bookmarkStart w:id="196" w:name="_Toc234382868"/>
      <w:r>
        <w:rPr>
          <w:rFonts w:hint="eastAsia" w:ascii="宋体" w:hAnsi="宋体" w:eastAsia="宋体" w:cs="宋体"/>
          <w:color w:val="auto"/>
          <w:sz w:val="21"/>
          <w:szCs w:val="21"/>
          <w:highlight w:val="none"/>
        </w:rPr>
        <w:t>7.1道路通行权和场外设施</w:t>
      </w:r>
      <w:bookmarkEnd w:id="196"/>
    </w:p>
    <w:p w14:paraId="05661C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2F2D38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根据合同工程的施工需要，负责办理取得出入施工场地的专用和临时道路的通行权，以及取得为工程建设所需修建场外设施的权利，并承担有权费用。需要发包人协调时，发包人应协助承包人办理相关手续。</w:t>
      </w:r>
    </w:p>
    <w:p w14:paraId="231BBF96">
      <w:pPr>
        <w:adjustRightInd w:val="0"/>
        <w:spacing w:line="360" w:lineRule="auto"/>
        <w:ind w:firstLine="420" w:firstLineChars="200"/>
        <w:rPr>
          <w:rFonts w:hint="eastAsia" w:ascii="宋体" w:hAnsi="宋体" w:eastAsia="宋体" w:cs="宋体"/>
          <w:color w:val="auto"/>
          <w:sz w:val="21"/>
          <w:szCs w:val="21"/>
          <w:highlight w:val="none"/>
        </w:rPr>
      </w:pPr>
      <w:bookmarkStart w:id="197" w:name="_Toc234382869"/>
      <w:r>
        <w:rPr>
          <w:rFonts w:hint="eastAsia" w:ascii="宋体" w:hAnsi="宋体" w:eastAsia="宋体" w:cs="宋体"/>
          <w:color w:val="auto"/>
          <w:sz w:val="21"/>
          <w:szCs w:val="21"/>
          <w:highlight w:val="none"/>
        </w:rPr>
        <w:t>8．测量放线</w:t>
      </w:r>
      <w:bookmarkEnd w:id="197"/>
    </w:p>
    <w:p w14:paraId="4EDB2D62">
      <w:pPr>
        <w:adjustRightInd w:val="0"/>
        <w:spacing w:line="360" w:lineRule="auto"/>
        <w:ind w:firstLine="420" w:firstLineChars="200"/>
        <w:rPr>
          <w:rFonts w:hint="eastAsia" w:ascii="宋体" w:hAnsi="宋体" w:eastAsia="宋体" w:cs="宋体"/>
          <w:color w:val="auto"/>
          <w:sz w:val="21"/>
          <w:szCs w:val="21"/>
          <w:highlight w:val="none"/>
        </w:rPr>
      </w:pPr>
      <w:bookmarkStart w:id="198" w:name="_Toc234382870"/>
      <w:r>
        <w:rPr>
          <w:rFonts w:hint="eastAsia" w:ascii="宋体" w:hAnsi="宋体" w:eastAsia="宋体" w:cs="宋体"/>
          <w:color w:val="auto"/>
          <w:sz w:val="21"/>
          <w:szCs w:val="21"/>
          <w:highlight w:val="none"/>
        </w:rPr>
        <w:t>8.4监理人使用施工控制网</w:t>
      </w:r>
      <w:bookmarkEnd w:id="198"/>
    </w:p>
    <w:p w14:paraId="0588429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610AA3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经监理人批准，其他相关承包人也可免费使用施工控制网。</w:t>
      </w:r>
    </w:p>
    <w:p w14:paraId="6381FE14">
      <w:pPr>
        <w:adjustRightInd w:val="0"/>
        <w:spacing w:line="360" w:lineRule="auto"/>
        <w:ind w:firstLine="420" w:firstLineChars="200"/>
        <w:rPr>
          <w:rFonts w:hint="eastAsia" w:ascii="宋体" w:hAnsi="宋体" w:eastAsia="宋体" w:cs="宋体"/>
          <w:color w:val="auto"/>
          <w:sz w:val="21"/>
          <w:szCs w:val="21"/>
          <w:highlight w:val="none"/>
        </w:rPr>
      </w:pPr>
      <w:bookmarkStart w:id="199" w:name="_Toc234382871"/>
      <w:r>
        <w:rPr>
          <w:rFonts w:hint="eastAsia" w:ascii="宋体" w:hAnsi="宋体" w:eastAsia="宋体" w:cs="宋体"/>
          <w:color w:val="auto"/>
          <w:sz w:val="21"/>
          <w:szCs w:val="21"/>
          <w:highlight w:val="none"/>
        </w:rPr>
        <w:t>9．施工安全、治安保卫和环境保护</w:t>
      </w:r>
      <w:bookmarkEnd w:id="199"/>
    </w:p>
    <w:p w14:paraId="16ED9122">
      <w:pPr>
        <w:adjustRightInd w:val="0"/>
        <w:spacing w:line="360" w:lineRule="auto"/>
        <w:ind w:firstLine="420" w:firstLineChars="200"/>
        <w:rPr>
          <w:rFonts w:hint="eastAsia" w:ascii="宋体" w:hAnsi="宋体" w:eastAsia="宋体" w:cs="宋体"/>
          <w:color w:val="auto"/>
          <w:sz w:val="21"/>
          <w:szCs w:val="21"/>
          <w:highlight w:val="none"/>
        </w:rPr>
      </w:pPr>
      <w:bookmarkStart w:id="200" w:name="_Toc234382872"/>
      <w:r>
        <w:rPr>
          <w:rFonts w:hint="eastAsia" w:ascii="宋体" w:hAnsi="宋体" w:eastAsia="宋体" w:cs="宋体"/>
          <w:color w:val="auto"/>
          <w:sz w:val="21"/>
          <w:szCs w:val="21"/>
          <w:highlight w:val="none"/>
        </w:rPr>
        <w:t>9．2承包人的施工安全责任</w:t>
      </w:r>
      <w:bookmarkEnd w:id="200"/>
    </w:p>
    <w:p w14:paraId="27DFE0B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第9.2.1项细化为：</w:t>
      </w:r>
    </w:p>
    <w:p w14:paraId="1741BD9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3B476B4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根据本工程的实际安全施工要求，编制施工安全技术措施，并在签订合同协议书后28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0E1BE6E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本项目需要编制专项施工方案的工程包括但不限于以下内容：</w:t>
      </w:r>
    </w:p>
    <w:p w14:paraId="708F60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（1）不良地质条件下有潜在危险性的土方、石方开挖；</w:t>
      </w:r>
    </w:p>
    <w:p w14:paraId="4E44F72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（2）滑坡和高边坡处理；</w:t>
      </w:r>
    </w:p>
    <w:p w14:paraId="2327636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（3）桩基础、挡墙基础、深水基础及围堰工程；</w:t>
      </w:r>
    </w:p>
    <w:p w14:paraId="0AE7150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（4）桥梁工程中的梁、拱、柱等构件施工等；</w:t>
      </w:r>
    </w:p>
    <w:p w14:paraId="77E853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（5）隧道工程中的不良地质隧道、高瓦斯隧道等；</w:t>
      </w:r>
    </w:p>
    <w:p w14:paraId="76EBB82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（6）水上工程中的打桩船作业、施工船作业、外海孤岛作业、边通航边施工作业等；</w:t>
      </w:r>
    </w:p>
    <w:p w14:paraId="358FD5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（7）水下工程中的水下焊接、混凝土浇筑、爆破工程等；</w:t>
      </w:r>
    </w:p>
    <w:p w14:paraId="123E7E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（8）爆破工程；</w:t>
      </w:r>
    </w:p>
    <w:p w14:paraId="6AAC35E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（9）大型临时工程中的大型支架、模板、便桥的架设与拆除；桥梁、码头的加固与拆除；</w:t>
      </w:r>
    </w:p>
    <w:p w14:paraId="5A77CD2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（10）其他危险性较大的工程。</w:t>
      </w:r>
    </w:p>
    <w:p w14:paraId="149047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监理人和发包人在检查中发现有安全问题或有违反安全管理规章制度的情况时，可视其为承包人违约，应按第22.1款的规定处理。</w:t>
      </w:r>
    </w:p>
    <w:p w14:paraId="4B939F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第9.2.5项细化为：</w:t>
      </w:r>
    </w:p>
    <w:p w14:paraId="7E4A050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除项目用合同条款另有约定外，</w:t>
      </w:r>
      <w:r>
        <w:rPr>
          <w:rFonts w:hint="eastAsia" w:ascii="宋体" w:hAnsi="宋体" w:eastAsia="宋体" w:cs="宋体"/>
          <w:color w:val="auto"/>
          <w:sz w:val="21"/>
          <w:szCs w:val="21"/>
          <w:highlight w:val="none"/>
        </w:rPr>
        <w:t>安全生产费用应为投标价（不含安全生产费及建筑工程一切险及第三者责任险的保险费）的1.5%（若发包人公布了最高投标限价时，按最高投标限价的1.5%计）</w:t>
      </w:r>
      <w:r>
        <w:rPr>
          <w:rFonts w:hint="eastAsia" w:ascii="宋体" w:hAnsi="宋体" w:eastAsia="宋体" w:cs="宋体"/>
          <w:color w:val="auto"/>
          <w:sz w:val="21"/>
          <w:szCs w:val="21"/>
          <w:highlight w:val="none"/>
        </w:rPr>
        <w:t>。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3.5款商定或确定。</w:t>
      </w:r>
    </w:p>
    <w:p w14:paraId="1E35452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本款补充第9.2.8项～9.2.11项：</w:t>
      </w:r>
    </w:p>
    <w:p w14:paraId="436AE07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9.2.8承包人应充分关注和保障所有在现场工作的人员的安全，采取以下有效措施，使现场和本合同工程的实施保持有条不紊，以免使让述人员的安全受到威胁。</w:t>
      </w:r>
    </w:p>
    <w:p w14:paraId="30C5D8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（1）按《公路水运工程安全生产临督管理办法》规定的最低数量和资质条件配备专职安全生产管理人员；</w:t>
      </w:r>
    </w:p>
    <w:p w14:paraId="440F110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14:paraId="0BCA77A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（3）所有施工机具设备和高空作业设备均应定期检查，并有安全员的签字记录。</w:t>
      </w:r>
    </w:p>
    <w:p w14:paraId="48C24E8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（4）根据本合同各单位工程的特点，严格执行《公路水运工程安全生产监督管理办法》、《公路工程施工安全技术规程》与《公路筑养路机械操作规程》的具体规定。</w:t>
      </w:r>
    </w:p>
    <w:p w14:paraId="5C9522F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9.2.9为保护本合同工程免遭损坏，或为了现场附近和过往群众的安全与方便，在确有必要的时候和地方，或当监理人或有关主管部门要求时，承包人应自费提供照明、警卫、护栅、警告标志等安全防护设施。</w:t>
      </w:r>
    </w:p>
    <w:p w14:paraId="305AEBD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9.2.10在通航水域施工时，承包人应与当地主管部门取得联系，设置必要的导航标志，及时发布航行通告，确保施工水域安全。</w:t>
      </w:r>
    </w:p>
    <w:p w14:paraId="7AEAFAA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9.2.11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bookmarkStart w:id="201" w:name="_Toc234382873"/>
    </w:p>
    <w:p w14:paraId="297A2F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9．4环境保护</w:t>
      </w:r>
      <w:bookmarkEnd w:id="201"/>
    </w:p>
    <w:p w14:paraId="0A91187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本款补充第9.4.7～第9.4.11项：</w:t>
      </w:r>
    </w:p>
    <w:p w14:paraId="53509F1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9.4.7 承包人应切实执行技术规范中有关环境保护方面的条款和规定。</w:t>
      </w:r>
    </w:p>
    <w:p w14:paraId="375C30D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w:t>
      </w:r>
    </w:p>
    <w:p w14:paraId="1BE948E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（2）对于公路施工中粉尘污染的主要污染源——灰土拌和、施工车辆和筑路机械运行及运输产生的扬尘，应采取有效措施减轻施工现场的大气污染，保护人民健康，如：</w:t>
      </w:r>
    </w:p>
    <w:p w14:paraId="744C18A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a.拌和设备应有较好的密封，或有防尘设备。</w:t>
      </w:r>
    </w:p>
    <w:p w14:paraId="2DFCC6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b.施工通道、沥青混凝土拌和站及灰土拌和站应经常进行洒水降尘。</w:t>
      </w:r>
    </w:p>
    <w:p w14:paraId="070F196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c.路面施工应注意保持水分，以免扬尘。</w:t>
      </w:r>
    </w:p>
    <w:p w14:paraId="1959F9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d.隧道出渣和桥梁钻孔灌注桩施工时排出的泥浆要进行妥善处理，严禁向河流或农田排放。</w:t>
      </w:r>
    </w:p>
    <w:p w14:paraId="60A14B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（3）采取可靠措施保证原有交通的正常通行，维持沿线村镇的居民饮水、农田灌溉、生产生活用电及通讯等管线的正常使用。</w:t>
      </w:r>
    </w:p>
    <w:p w14:paraId="5A85BA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9.4.8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24C8870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9.4.9在施工期间，承包人应随时保持现场整洁，施工设备和材料、工程设备应整齐妥善存放和储存，废料与垃圾及不再需要的临时设施应及时从现场清除、拆除并运走。</w:t>
      </w:r>
    </w:p>
    <w:p w14:paraId="711B95F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1FECEDB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压，要完善施工中的临时排水系统，加强施工便道的管理。取（弃）土场必须先挡后弃，严禁在指定的取（弃）土场以外的地方乱挖乱弃。</w:t>
      </w:r>
    </w:p>
    <w:p w14:paraId="1F040380">
      <w:pPr>
        <w:adjustRightInd w:val="0"/>
        <w:spacing w:line="360" w:lineRule="auto"/>
        <w:ind w:firstLine="420" w:firstLineChars="200"/>
        <w:rPr>
          <w:rFonts w:hint="eastAsia" w:ascii="宋体" w:hAnsi="宋体" w:eastAsia="宋体" w:cs="宋体"/>
          <w:color w:val="auto"/>
          <w:sz w:val="21"/>
          <w:szCs w:val="21"/>
          <w:highlight w:val="none"/>
        </w:rPr>
      </w:pPr>
      <w:bookmarkStart w:id="202" w:name="_Toc234382874"/>
      <w:r>
        <w:rPr>
          <w:rFonts w:hint="eastAsia" w:ascii="宋体" w:hAnsi="宋体" w:eastAsia="宋体" w:cs="宋体"/>
          <w:color w:val="auto"/>
          <w:sz w:val="21"/>
          <w:szCs w:val="21"/>
          <w:highlight w:val="none"/>
        </w:rPr>
        <w:t>10．进度计划</w:t>
      </w:r>
      <w:bookmarkEnd w:id="202"/>
    </w:p>
    <w:p w14:paraId="3BDE4B72">
      <w:pPr>
        <w:adjustRightInd w:val="0"/>
        <w:spacing w:line="360" w:lineRule="auto"/>
        <w:ind w:firstLine="420" w:firstLineChars="200"/>
        <w:rPr>
          <w:rFonts w:hint="eastAsia" w:ascii="宋体" w:hAnsi="宋体" w:eastAsia="宋体" w:cs="宋体"/>
          <w:color w:val="auto"/>
          <w:sz w:val="21"/>
          <w:szCs w:val="21"/>
          <w:highlight w:val="none"/>
        </w:rPr>
      </w:pPr>
      <w:bookmarkStart w:id="203" w:name="_Toc234382875"/>
      <w:r>
        <w:rPr>
          <w:rFonts w:hint="eastAsia" w:ascii="宋体" w:hAnsi="宋体" w:eastAsia="宋体" w:cs="宋体"/>
          <w:color w:val="auto"/>
          <w:sz w:val="21"/>
          <w:szCs w:val="21"/>
          <w:highlight w:val="none"/>
        </w:rPr>
        <w:t>10.1合同进度计划</w:t>
      </w:r>
      <w:bookmarkEnd w:id="203"/>
    </w:p>
    <w:p w14:paraId="7944A4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546A969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承包人编制施工方案说明的内容见项目专用合同条款。</w:t>
      </w:r>
    </w:p>
    <w:p w14:paraId="7773FCE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承包人向监理人报送施工进度计划和施工方案说明的期限：签订合同协议书后28天之内。</w:t>
      </w:r>
    </w:p>
    <w:p w14:paraId="0711D7F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监理人应在14天内对承包人施工进度计划和施工方案说明予以批复或提出修改意见。</w:t>
      </w:r>
    </w:p>
    <w:p w14:paraId="4079EAE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合同进度计划应按照关键线路网络图和主要工作横道图两种形式分别编绘，并应包括每月预计完成的工作量和形象进度。</w:t>
      </w:r>
    </w:p>
    <w:p w14:paraId="585BE2B3">
      <w:pPr>
        <w:adjustRightInd w:val="0"/>
        <w:spacing w:line="360" w:lineRule="auto"/>
        <w:ind w:firstLine="420" w:firstLineChars="200"/>
        <w:rPr>
          <w:rFonts w:hint="eastAsia" w:ascii="宋体" w:hAnsi="宋体" w:eastAsia="宋体" w:cs="宋体"/>
          <w:color w:val="auto"/>
          <w:sz w:val="21"/>
          <w:szCs w:val="21"/>
          <w:highlight w:val="none"/>
        </w:rPr>
      </w:pPr>
      <w:bookmarkStart w:id="204" w:name="_Toc234382876"/>
      <w:r>
        <w:rPr>
          <w:rFonts w:hint="eastAsia" w:ascii="宋体" w:hAnsi="宋体" w:eastAsia="宋体" w:cs="宋体"/>
          <w:color w:val="auto"/>
          <w:sz w:val="21"/>
          <w:szCs w:val="21"/>
          <w:highlight w:val="none"/>
        </w:rPr>
        <w:t>10.2合同进度计划的修订</w:t>
      </w:r>
      <w:bookmarkEnd w:id="204"/>
    </w:p>
    <w:p w14:paraId="2E75129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767E7B3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承包人提交合同进度计划修订申请报告，并附有关措施和相关资料的期限：实际进度发生滞后的当月25日前。</w:t>
      </w:r>
    </w:p>
    <w:p w14:paraId="04BCD1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监理人批复修订合同进度计划的期限：收到修订合同进度计划后14天内。</w:t>
      </w:r>
    </w:p>
    <w:p w14:paraId="3610B4EF">
      <w:pPr>
        <w:adjustRightInd w:val="0"/>
        <w:spacing w:line="360" w:lineRule="auto"/>
        <w:ind w:firstLine="420" w:firstLineChars="200"/>
        <w:rPr>
          <w:rFonts w:hint="eastAsia" w:ascii="宋体" w:hAnsi="宋体" w:eastAsia="宋体" w:cs="宋体"/>
          <w:color w:val="auto"/>
          <w:sz w:val="21"/>
          <w:szCs w:val="21"/>
          <w:highlight w:val="none"/>
        </w:rPr>
      </w:pPr>
    </w:p>
    <w:p w14:paraId="5AB607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补充第10.3、10.4款：</w:t>
      </w:r>
    </w:p>
    <w:p w14:paraId="1D90C920">
      <w:pPr>
        <w:adjustRightInd w:val="0"/>
        <w:spacing w:line="360" w:lineRule="auto"/>
        <w:ind w:firstLine="420" w:firstLineChars="200"/>
        <w:rPr>
          <w:rFonts w:hint="eastAsia" w:ascii="宋体" w:hAnsi="宋体" w:eastAsia="宋体" w:cs="宋体"/>
          <w:color w:val="auto"/>
          <w:sz w:val="21"/>
          <w:szCs w:val="21"/>
          <w:highlight w:val="none"/>
        </w:rPr>
      </w:pPr>
      <w:bookmarkStart w:id="205" w:name="_Toc234382877"/>
      <w:r>
        <w:rPr>
          <w:rFonts w:hint="eastAsia" w:ascii="宋体" w:hAnsi="宋体" w:eastAsia="宋体" w:cs="宋体"/>
          <w:color w:val="auto"/>
          <w:sz w:val="21"/>
          <w:szCs w:val="21"/>
          <w:highlight w:val="none"/>
        </w:rPr>
        <w:t>10.3年度施工计划</w:t>
      </w:r>
      <w:bookmarkEnd w:id="205"/>
    </w:p>
    <w:p w14:paraId="2C6D2C0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每年11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14:paraId="55F0F9D0">
      <w:pPr>
        <w:adjustRightInd w:val="0"/>
        <w:spacing w:line="360" w:lineRule="auto"/>
        <w:ind w:firstLine="420" w:firstLineChars="200"/>
        <w:rPr>
          <w:rFonts w:hint="eastAsia" w:ascii="宋体" w:hAnsi="宋体" w:eastAsia="宋体" w:cs="宋体"/>
          <w:color w:val="auto"/>
          <w:sz w:val="21"/>
          <w:szCs w:val="21"/>
          <w:highlight w:val="none"/>
        </w:rPr>
      </w:pPr>
      <w:bookmarkStart w:id="206" w:name="_Toc234382878"/>
      <w:r>
        <w:rPr>
          <w:rFonts w:hint="eastAsia" w:ascii="宋体" w:hAnsi="宋体" w:eastAsia="宋体" w:cs="宋体"/>
          <w:color w:val="auto"/>
          <w:sz w:val="21"/>
          <w:szCs w:val="21"/>
          <w:highlight w:val="none"/>
        </w:rPr>
        <w:t>10.4合同用款计划</w:t>
      </w:r>
      <w:bookmarkEnd w:id="206"/>
    </w:p>
    <w:p w14:paraId="2D9383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签订本合同协议书后28天之内，按招标文件中规定的格式，向监理人提交2份按合同规定承包人有权得到支付的详细的季度合同用款计划，以备监理人查阅。如果监理人提出要求，承包人还应按季度提交修订的合同用款计划。</w:t>
      </w:r>
    </w:p>
    <w:p w14:paraId="4E9A16CA">
      <w:pPr>
        <w:adjustRightInd w:val="0"/>
        <w:spacing w:line="360" w:lineRule="auto"/>
        <w:ind w:firstLine="420" w:firstLineChars="200"/>
        <w:rPr>
          <w:rFonts w:hint="eastAsia" w:ascii="宋体" w:hAnsi="宋体" w:eastAsia="宋体" w:cs="宋体"/>
          <w:color w:val="auto"/>
          <w:sz w:val="21"/>
          <w:szCs w:val="21"/>
          <w:highlight w:val="none"/>
        </w:rPr>
      </w:pPr>
      <w:bookmarkStart w:id="207" w:name="_Toc234382879"/>
      <w:r>
        <w:rPr>
          <w:rFonts w:hint="eastAsia" w:ascii="宋体" w:hAnsi="宋体" w:eastAsia="宋体" w:cs="宋体"/>
          <w:color w:val="auto"/>
          <w:sz w:val="21"/>
          <w:szCs w:val="21"/>
          <w:highlight w:val="none"/>
        </w:rPr>
        <w:t>11．开工和竣工</w:t>
      </w:r>
      <w:bookmarkEnd w:id="207"/>
    </w:p>
    <w:p w14:paraId="18D93022">
      <w:pPr>
        <w:adjustRightInd w:val="0"/>
        <w:spacing w:line="360" w:lineRule="auto"/>
        <w:ind w:firstLine="420" w:firstLineChars="200"/>
        <w:rPr>
          <w:rFonts w:hint="eastAsia" w:ascii="宋体" w:hAnsi="宋体" w:eastAsia="宋体" w:cs="宋体"/>
          <w:color w:val="auto"/>
          <w:sz w:val="21"/>
          <w:szCs w:val="21"/>
          <w:highlight w:val="none"/>
        </w:rPr>
      </w:pPr>
      <w:bookmarkStart w:id="208" w:name="_Toc234382880"/>
      <w:r>
        <w:rPr>
          <w:rFonts w:hint="eastAsia" w:ascii="宋体" w:hAnsi="宋体" w:eastAsia="宋体" w:cs="宋体"/>
          <w:color w:val="auto"/>
          <w:sz w:val="21"/>
          <w:szCs w:val="21"/>
          <w:highlight w:val="none"/>
        </w:rPr>
        <w:t>11.1开工</w:t>
      </w:r>
      <w:bookmarkEnd w:id="208"/>
    </w:p>
    <w:p w14:paraId="55A6101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第11.1.2项补充：</w:t>
      </w:r>
    </w:p>
    <w:p w14:paraId="7F3ED83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承包人应在分部工程开工前14天向监理人提交分部工程开工报审表，若承包人的开工准备、工作计划和质量控制方法是可接受的且已获得批准，则经监理人书面同意，分部工程才能开工。</w:t>
      </w:r>
    </w:p>
    <w:p w14:paraId="60121531">
      <w:pPr>
        <w:adjustRightInd w:val="0"/>
        <w:spacing w:line="360" w:lineRule="auto"/>
        <w:ind w:firstLine="420" w:firstLineChars="200"/>
        <w:rPr>
          <w:rFonts w:hint="eastAsia" w:ascii="宋体" w:hAnsi="宋体" w:eastAsia="宋体" w:cs="宋体"/>
          <w:color w:val="auto"/>
          <w:sz w:val="21"/>
          <w:szCs w:val="21"/>
          <w:highlight w:val="none"/>
        </w:rPr>
      </w:pPr>
      <w:bookmarkStart w:id="209" w:name="_Toc234382881"/>
      <w:r>
        <w:rPr>
          <w:rFonts w:hint="eastAsia" w:ascii="宋体" w:hAnsi="宋体" w:eastAsia="宋体" w:cs="宋体"/>
          <w:color w:val="auto"/>
          <w:sz w:val="21"/>
          <w:szCs w:val="21"/>
          <w:highlight w:val="none"/>
        </w:rPr>
        <w:t>11.3发包人的工期延误</w:t>
      </w:r>
      <w:bookmarkEnd w:id="209"/>
    </w:p>
    <w:p w14:paraId="431F351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354DD4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即使由于上述原因造成工期延误，如果受影响的工程并非处在工程施工进度网络计划的关键线路上，则承包人无权要求延长总工期。</w:t>
      </w:r>
    </w:p>
    <w:p w14:paraId="4168EDB6">
      <w:pPr>
        <w:adjustRightInd w:val="0"/>
        <w:spacing w:line="360" w:lineRule="auto"/>
        <w:ind w:firstLine="420" w:firstLineChars="200"/>
        <w:rPr>
          <w:rFonts w:hint="eastAsia" w:ascii="宋体" w:hAnsi="宋体" w:eastAsia="宋体" w:cs="宋体"/>
          <w:color w:val="auto"/>
          <w:sz w:val="21"/>
          <w:szCs w:val="21"/>
          <w:highlight w:val="none"/>
        </w:rPr>
      </w:pPr>
      <w:bookmarkStart w:id="210" w:name="_Toc234382882"/>
      <w:r>
        <w:rPr>
          <w:rFonts w:hint="eastAsia" w:ascii="宋体" w:hAnsi="宋体" w:eastAsia="宋体" w:cs="宋体"/>
          <w:color w:val="auto"/>
          <w:sz w:val="21"/>
          <w:szCs w:val="21"/>
          <w:highlight w:val="none"/>
        </w:rPr>
        <w:t>11.4异常恶劣的气候条件</w:t>
      </w:r>
      <w:bookmarkEnd w:id="210"/>
    </w:p>
    <w:p w14:paraId="72056B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27816C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异常气候条件是指项目所在地30年一遇的罕见气候现象（包括温度、降水、降雪、风等）。异常恶劣的气候条件在项目专用合同条款中作具体规定。</w:t>
      </w:r>
    </w:p>
    <w:p w14:paraId="71A70AF4">
      <w:pPr>
        <w:adjustRightInd w:val="0"/>
        <w:spacing w:line="360" w:lineRule="auto"/>
        <w:ind w:firstLine="420" w:firstLineChars="200"/>
        <w:rPr>
          <w:rFonts w:hint="eastAsia" w:ascii="宋体" w:hAnsi="宋体" w:eastAsia="宋体" w:cs="宋体"/>
          <w:color w:val="auto"/>
          <w:sz w:val="21"/>
          <w:szCs w:val="21"/>
          <w:highlight w:val="none"/>
        </w:rPr>
      </w:pPr>
      <w:bookmarkStart w:id="211" w:name="_Toc234382883"/>
      <w:r>
        <w:rPr>
          <w:rFonts w:hint="eastAsia" w:ascii="宋体" w:hAnsi="宋体" w:eastAsia="宋体" w:cs="宋体"/>
          <w:color w:val="auto"/>
          <w:sz w:val="21"/>
          <w:szCs w:val="21"/>
          <w:highlight w:val="none"/>
        </w:rPr>
        <w:t>11.5承包人的工期延误</w:t>
      </w:r>
      <w:bookmarkEnd w:id="211"/>
    </w:p>
    <w:p w14:paraId="6DC95E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490B716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严格执行监理人批准的合同进度计划，对工作量计划和形象进度计划分别控制。除11.3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7367050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承包人在接到监理人通知后的14天内，未能采取加快工程进度的措施，致使实际工程进度进一步滞后，或承包人虽采取了一些措施，仍无法按预计工期交工时，监理人应立即通知发包人。发包人在向承包人发出书面警告通知14天后，发包人可按第22.1款终止对承包人的雇用，也可将本合同工程中的一部分工作交由其他承包人或其他分包人完成。在不解除本合同规定的承包人责任和义务的同时，承包人应承担因此所增加的一切费用。</w:t>
      </w:r>
    </w:p>
    <w:p w14:paraId="1EC0B4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承包人原因造成工期延误，承包人应支付逾期交工违约金。逾期交工违约金的计算方法在项目专用合同条款数据表中约定，时间自预定的交工日期起到交工验收证书中写明的实际交工日期止（扣除已批准的延长工期），按天计算。逾期交工违约金累计金额最高不超过项目专用合同条款数据表中写明的限额。发包人可以从应付或到期应付给承包人的任何款项中或釆用其他方法扣除此违约金。</w:t>
      </w:r>
    </w:p>
    <w:p w14:paraId="635EF94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（4）承包人支付逾期交工违约金，不免除承包人完成工程及修补缺陷的义务。</w:t>
      </w:r>
    </w:p>
    <w:p w14:paraId="31C7EB1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如果在合同工程完工之前，已对合同工程内按时完工的单位工程签发了交工验收证书，则合同工程的逾期交工违约金，应按己签发交工验收证书的单位工程的价值占合同工程价值的比例予以减少，但本规定不应影响逾期交工违约金的规定限额。</w:t>
      </w:r>
    </w:p>
    <w:p w14:paraId="66374851">
      <w:pPr>
        <w:adjustRightInd w:val="0"/>
        <w:spacing w:line="360" w:lineRule="auto"/>
        <w:ind w:firstLine="420" w:firstLineChars="200"/>
        <w:rPr>
          <w:rFonts w:hint="eastAsia" w:ascii="宋体" w:hAnsi="宋体" w:eastAsia="宋体" w:cs="宋体"/>
          <w:color w:val="auto"/>
          <w:sz w:val="21"/>
          <w:szCs w:val="21"/>
          <w:highlight w:val="none"/>
        </w:rPr>
      </w:pPr>
      <w:bookmarkStart w:id="212" w:name="_Toc234382884"/>
      <w:r>
        <w:rPr>
          <w:rFonts w:hint="eastAsia" w:ascii="宋体" w:hAnsi="宋体" w:eastAsia="宋体" w:cs="宋体"/>
          <w:color w:val="auto"/>
          <w:sz w:val="21"/>
          <w:szCs w:val="21"/>
          <w:highlight w:val="none"/>
        </w:rPr>
        <w:t>11．6工期提前</w:t>
      </w:r>
      <w:bookmarkEnd w:id="212"/>
    </w:p>
    <w:p w14:paraId="40C0E3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2E1152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发包人不得随意要求承包人提前交工，承包人也不得随意提出提前交工的建议。如遇特殊情况，确需将工期提前的，发包人和承包人必须采取有效措施，确保工程质量。</w:t>
      </w:r>
    </w:p>
    <w:p w14:paraId="3ECC9F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091021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补充11.7款：</w:t>
      </w:r>
    </w:p>
    <w:p w14:paraId="2B998CF6">
      <w:pPr>
        <w:adjustRightInd w:val="0"/>
        <w:spacing w:line="360" w:lineRule="auto"/>
        <w:ind w:firstLine="420" w:firstLineChars="200"/>
        <w:rPr>
          <w:rFonts w:hint="eastAsia" w:ascii="宋体" w:hAnsi="宋体" w:eastAsia="宋体" w:cs="宋体"/>
          <w:color w:val="auto"/>
          <w:sz w:val="21"/>
          <w:szCs w:val="21"/>
          <w:highlight w:val="none"/>
        </w:rPr>
      </w:pPr>
      <w:bookmarkStart w:id="213" w:name="_Toc234382885"/>
      <w:r>
        <w:rPr>
          <w:rFonts w:hint="eastAsia" w:ascii="宋体" w:hAnsi="宋体" w:eastAsia="宋体" w:cs="宋体"/>
          <w:color w:val="auto"/>
          <w:sz w:val="21"/>
          <w:szCs w:val="21"/>
          <w:highlight w:val="none"/>
        </w:rPr>
        <w:t>11．7工作时间的限制</w:t>
      </w:r>
      <w:bookmarkEnd w:id="213"/>
    </w:p>
    <w:p w14:paraId="7A87153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承包人在夜间或国家规定的节假日进行永久工程的施工，应向监理人报告，以便监理人履行监理人履行监理职责和义务。</w:t>
      </w:r>
    </w:p>
    <w:p w14:paraId="57FA644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但是，为了抢救生命或保护财产，或为了工程的安全、质量而不可避免地短暂作业，则不必事先向监理人报告。但承包人应在事后立即向监理人报告。</w:t>
      </w:r>
    </w:p>
    <w:p w14:paraId="0D1DF32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本款规定不适用于习惯上或施工本身要求实行连续生产的作业。</w:t>
      </w:r>
    </w:p>
    <w:p w14:paraId="2E4D968F">
      <w:pPr>
        <w:adjustRightInd w:val="0"/>
        <w:spacing w:line="360" w:lineRule="auto"/>
        <w:ind w:firstLine="420" w:firstLineChars="200"/>
        <w:rPr>
          <w:rFonts w:hint="eastAsia" w:ascii="宋体" w:hAnsi="宋体" w:eastAsia="宋体" w:cs="宋体"/>
          <w:color w:val="auto"/>
          <w:sz w:val="21"/>
          <w:szCs w:val="21"/>
          <w:highlight w:val="none"/>
        </w:rPr>
      </w:pPr>
      <w:bookmarkStart w:id="214" w:name="_Toc234382886"/>
      <w:r>
        <w:rPr>
          <w:rFonts w:hint="eastAsia" w:ascii="宋体" w:hAnsi="宋体" w:eastAsia="宋体" w:cs="宋体"/>
          <w:color w:val="auto"/>
          <w:sz w:val="21"/>
          <w:szCs w:val="21"/>
          <w:highlight w:val="none"/>
        </w:rPr>
        <w:t>12．暂停施工</w:t>
      </w:r>
      <w:bookmarkEnd w:id="214"/>
    </w:p>
    <w:p w14:paraId="132C3B8E">
      <w:pPr>
        <w:adjustRightInd w:val="0"/>
        <w:spacing w:line="360" w:lineRule="auto"/>
        <w:ind w:firstLine="420" w:firstLineChars="200"/>
        <w:rPr>
          <w:rFonts w:hint="eastAsia" w:ascii="宋体" w:hAnsi="宋体" w:eastAsia="宋体" w:cs="宋体"/>
          <w:color w:val="auto"/>
          <w:sz w:val="21"/>
          <w:szCs w:val="21"/>
          <w:highlight w:val="none"/>
        </w:rPr>
      </w:pPr>
      <w:bookmarkStart w:id="215" w:name="_Toc234382887"/>
      <w:r>
        <w:rPr>
          <w:rFonts w:hint="eastAsia" w:ascii="宋体" w:hAnsi="宋体" w:eastAsia="宋体" w:cs="宋体"/>
          <w:color w:val="auto"/>
          <w:sz w:val="21"/>
          <w:szCs w:val="21"/>
          <w:highlight w:val="none"/>
        </w:rPr>
        <w:t>12．1承包人暂停施工的责任</w:t>
      </w:r>
      <w:bookmarkEnd w:id="215"/>
    </w:p>
    <w:p w14:paraId="1A493E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本款第（5）项细化为：</w:t>
      </w:r>
    </w:p>
    <w:p w14:paraId="2FD07FD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（5）现场气候条件导致的必要停工（第11.4款规定的异常恶劣的气候条件除外）；</w:t>
      </w:r>
    </w:p>
    <w:p w14:paraId="30EADE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（6）项目专用合同条款约定的由承包人承担的其他暂停施工。</w:t>
      </w:r>
    </w:p>
    <w:p w14:paraId="17F06D97">
      <w:pPr>
        <w:adjustRightInd w:val="0"/>
        <w:spacing w:line="360" w:lineRule="auto"/>
        <w:ind w:firstLine="420" w:firstLineChars="200"/>
        <w:rPr>
          <w:rFonts w:hint="eastAsia" w:ascii="宋体" w:hAnsi="宋体" w:eastAsia="宋体" w:cs="宋体"/>
          <w:color w:val="auto"/>
          <w:sz w:val="21"/>
          <w:szCs w:val="21"/>
          <w:highlight w:val="none"/>
        </w:rPr>
      </w:pPr>
      <w:bookmarkStart w:id="216" w:name="_Toc234382888"/>
      <w:r>
        <w:rPr>
          <w:rFonts w:hint="eastAsia" w:ascii="宋体" w:hAnsi="宋体" w:eastAsia="宋体" w:cs="宋体"/>
          <w:color w:val="auto"/>
          <w:sz w:val="21"/>
          <w:szCs w:val="21"/>
          <w:highlight w:val="none"/>
        </w:rPr>
        <w:t>13．工程质量</w:t>
      </w:r>
      <w:bookmarkEnd w:id="216"/>
    </w:p>
    <w:p w14:paraId="390FE396">
      <w:pPr>
        <w:adjustRightInd w:val="0"/>
        <w:spacing w:line="360" w:lineRule="auto"/>
        <w:ind w:firstLine="420" w:firstLineChars="200"/>
        <w:rPr>
          <w:rFonts w:hint="eastAsia" w:ascii="宋体" w:hAnsi="宋体" w:eastAsia="宋体" w:cs="宋体"/>
          <w:color w:val="auto"/>
          <w:sz w:val="21"/>
          <w:szCs w:val="21"/>
          <w:highlight w:val="none"/>
        </w:rPr>
      </w:pPr>
      <w:bookmarkStart w:id="217" w:name="_Toc234382889"/>
      <w:r>
        <w:rPr>
          <w:rFonts w:hint="eastAsia" w:ascii="宋体" w:hAnsi="宋体" w:eastAsia="宋体" w:cs="宋体"/>
          <w:color w:val="auto"/>
          <w:sz w:val="21"/>
          <w:szCs w:val="21"/>
          <w:highlight w:val="none"/>
        </w:rPr>
        <w:t>13．1工程质量要求</w:t>
      </w:r>
      <w:bookmarkEnd w:id="217"/>
    </w:p>
    <w:p w14:paraId="012D2B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第13.1.1项约定为：</w:t>
      </w:r>
    </w:p>
    <w:p w14:paraId="1E8BFCF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工程质量验收按技术规范及《公路工程质量检验评定标准》执行。</w:t>
      </w:r>
    </w:p>
    <w:p w14:paraId="673DA8A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本款补充第13.1.4和13.1.5项：</w:t>
      </w:r>
    </w:p>
    <w:p w14:paraId="1DFA3D5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13.1.4发包人和承包人应严格遵守《关于严格落实公路工程质量责任制的若干意见》的相关规定，认真执行工程质量责任登记制度并按要求填写工程质量责任登记表。</w:t>
      </w:r>
    </w:p>
    <w:p w14:paraId="38738D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13.1.5本项目严格执行质量责任追究制度。质量事故处理实行“四不放过”原则：事故原因调查不清不放过；事故责任者没有受到教育不放过；没有防范措施不放过；相关责任人没受到处理不放过。</w:t>
      </w:r>
    </w:p>
    <w:p w14:paraId="0CDDA605">
      <w:pPr>
        <w:adjustRightInd w:val="0"/>
        <w:spacing w:line="360" w:lineRule="auto"/>
        <w:ind w:firstLine="420" w:firstLineChars="200"/>
        <w:rPr>
          <w:rFonts w:hint="eastAsia" w:ascii="宋体" w:hAnsi="宋体" w:eastAsia="宋体" w:cs="宋体"/>
          <w:color w:val="auto"/>
          <w:sz w:val="21"/>
          <w:szCs w:val="21"/>
          <w:highlight w:val="none"/>
        </w:rPr>
      </w:pPr>
      <w:bookmarkStart w:id="218" w:name="_Toc234382890"/>
      <w:r>
        <w:rPr>
          <w:rFonts w:hint="eastAsia" w:ascii="宋体" w:hAnsi="宋体" w:eastAsia="宋体" w:cs="宋体"/>
          <w:color w:val="auto"/>
          <w:sz w:val="21"/>
          <w:szCs w:val="21"/>
          <w:highlight w:val="none"/>
        </w:rPr>
        <w:t>13．2承包人的质量管理</w:t>
      </w:r>
      <w:bookmarkEnd w:id="218"/>
    </w:p>
    <w:p w14:paraId="3AF8FD6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第13.2.1项补充：</w:t>
      </w:r>
    </w:p>
    <w:p w14:paraId="5D17ECA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承包人提交工程质量保证措施文件的期限：签订合同协议书后28天之内。</w:t>
      </w:r>
    </w:p>
    <w:p w14:paraId="5DEE87AD">
      <w:pPr>
        <w:adjustRightInd w:val="0"/>
        <w:spacing w:line="360" w:lineRule="auto"/>
        <w:ind w:firstLine="420" w:firstLineChars="200"/>
        <w:rPr>
          <w:rFonts w:hint="eastAsia" w:ascii="宋体" w:hAnsi="宋体" w:eastAsia="宋体" w:cs="宋体"/>
          <w:color w:val="auto"/>
          <w:sz w:val="21"/>
          <w:szCs w:val="21"/>
          <w:highlight w:val="none"/>
        </w:rPr>
      </w:pPr>
      <w:bookmarkStart w:id="219" w:name="_Toc234382891"/>
      <w:r>
        <w:rPr>
          <w:rFonts w:hint="eastAsia" w:ascii="宋体" w:hAnsi="宋体" w:eastAsia="宋体" w:cs="宋体"/>
          <w:color w:val="auto"/>
          <w:sz w:val="21"/>
          <w:szCs w:val="21"/>
          <w:highlight w:val="none"/>
        </w:rPr>
        <w:t>本款补充第13.2.3项〜第13.2.10项：</w:t>
      </w:r>
    </w:p>
    <w:p w14:paraId="70D3208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13.2.3公路工程施行质量责任终身制。承包人应当书面明确相应的项目负责人和质量负责人。承包人的相关人员按照国家法律法规和有关规定在工程合理使用年限内承担相应的质量责任。</w:t>
      </w:r>
    </w:p>
    <w:p w14:paraId="790D76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13.2.4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14:paraId="3969793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13.2.5承包人对工程施工质量负责，应当按合同约定设立现场质量管理机构、配备工程技术人员和质量管理人员，落实工程施工质量责任制。</w:t>
      </w:r>
    </w:p>
    <w:p w14:paraId="3B9794F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13.2.6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14:paraId="4AC6FBA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13.2.7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14:paraId="512AA41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13.2.8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4C53F28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13.2.9承包人应当依法规范分包行为，并对承担的工程质量负总责，分包单位对分包合同范围内的工程质量负责。</w:t>
      </w:r>
    </w:p>
    <w:p w14:paraId="79F36F4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13.2.10承包人驻工程现场机构应在现场驻地和重要的分部、分项工程施工现场设置明显的工程质量责任登记表公示牌。</w:t>
      </w:r>
    </w:p>
    <w:p w14:paraId="64DD639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13．4监理人的质量检查</w:t>
      </w:r>
      <w:bookmarkEnd w:id="219"/>
    </w:p>
    <w:p w14:paraId="55684E6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612E6AB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监理人及其委派的检验人员，应能进入工程现场，以及材料或工程设备的制造、加工或制配的车间和场所，包括不属于承包人的车间或场所进行检查，承包人应为此提供便利和协助。</w:t>
      </w:r>
    </w:p>
    <w:p w14:paraId="7D3F52B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监理人可以将材料或工程设备的检查委托给一家独立的有质量检验认证资格的检验单位。该独立检验单位的检验结果应视为监理人完成的。监理人应将这种委托的通知书不少于7天交给承包人。</w:t>
      </w:r>
    </w:p>
    <w:p w14:paraId="7411E0E1">
      <w:pPr>
        <w:adjustRightInd w:val="0"/>
        <w:spacing w:line="360" w:lineRule="auto"/>
        <w:ind w:firstLine="420" w:firstLineChars="200"/>
        <w:rPr>
          <w:rFonts w:hint="eastAsia" w:ascii="宋体" w:hAnsi="宋体" w:eastAsia="宋体" w:cs="宋体"/>
          <w:color w:val="auto"/>
          <w:sz w:val="21"/>
          <w:szCs w:val="21"/>
          <w:highlight w:val="none"/>
        </w:rPr>
      </w:pPr>
      <w:bookmarkStart w:id="220" w:name="_Toc234382892"/>
      <w:r>
        <w:rPr>
          <w:rFonts w:hint="eastAsia" w:ascii="宋体" w:hAnsi="宋体" w:eastAsia="宋体" w:cs="宋体"/>
          <w:color w:val="auto"/>
          <w:sz w:val="21"/>
          <w:szCs w:val="21"/>
          <w:highlight w:val="none"/>
        </w:rPr>
        <w:t>13．5工程隐蔽部位覆盖前的检查</w:t>
      </w:r>
      <w:bookmarkEnd w:id="220"/>
    </w:p>
    <w:p w14:paraId="5942EA6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第13.5.1项补充：</w:t>
      </w:r>
    </w:p>
    <w:p w14:paraId="5678C3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当监理人有指示时，承包人应对重要隐蔽工程进行拍摄或照相并应保证监理人有充分的机会对将要覆盖或隐蔽的工程进行检查或量测，特别是在基础以上的任一部分工程修筑之前，对该基础进行检查。</w:t>
      </w:r>
    </w:p>
    <w:p w14:paraId="2FFD7518">
      <w:pPr>
        <w:adjustRightInd w:val="0"/>
        <w:spacing w:line="360" w:lineRule="auto"/>
        <w:ind w:firstLine="420" w:firstLineChars="200"/>
        <w:rPr>
          <w:rFonts w:hint="eastAsia" w:ascii="宋体" w:hAnsi="宋体" w:eastAsia="宋体" w:cs="宋体"/>
          <w:color w:val="auto"/>
          <w:sz w:val="21"/>
          <w:szCs w:val="21"/>
          <w:highlight w:val="none"/>
        </w:rPr>
      </w:pPr>
      <w:bookmarkStart w:id="221" w:name="_Toc234382893"/>
      <w:r>
        <w:rPr>
          <w:rFonts w:hint="eastAsia" w:ascii="宋体" w:hAnsi="宋体" w:eastAsia="宋体" w:cs="宋体"/>
          <w:color w:val="auto"/>
          <w:sz w:val="21"/>
          <w:szCs w:val="21"/>
          <w:highlight w:val="none"/>
        </w:rPr>
        <w:t>13．6清除不合格工程</w:t>
      </w:r>
      <w:bookmarkEnd w:id="221"/>
    </w:p>
    <w:p w14:paraId="1F5A2C4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第13.6.1项细化为：</w:t>
      </w:r>
    </w:p>
    <w:p w14:paraId="716A3E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14:paraId="48F5287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（2）如果承包人未在规定时间内执行监理人的指示，发包人有权雇用他人执行，由此增加的费用和（或）工期延误由承包人承担。</w:t>
      </w:r>
    </w:p>
    <w:p w14:paraId="12496899">
      <w:pPr>
        <w:adjustRightInd w:val="0"/>
        <w:spacing w:line="360" w:lineRule="auto"/>
        <w:ind w:firstLine="420" w:firstLineChars="200"/>
        <w:rPr>
          <w:rFonts w:hint="eastAsia" w:ascii="宋体" w:hAnsi="宋体" w:eastAsia="宋体" w:cs="宋体"/>
          <w:color w:val="auto"/>
          <w:sz w:val="21"/>
          <w:szCs w:val="21"/>
          <w:highlight w:val="none"/>
        </w:rPr>
      </w:pPr>
      <w:bookmarkStart w:id="222" w:name="_Toc234382894"/>
      <w:r>
        <w:rPr>
          <w:rFonts w:hint="eastAsia" w:ascii="宋体" w:hAnsi="宋体" w:eastAsia="宋体" w:cs="宋体"/>
          <w:color w:val="auto"/>
          <w:sz w:val="21"/>
          <w:szCs w:val="21"/>
          <w:highlight w:val="none"/>
        </w:rPr>
        <w:t>14．试验和检验</w:t>
      </w:r>
      <w:bookmarkEnd w:id="222"/>
    </w:p>
    <w:p w14:paraId="3237F74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补充第14.4款：</w:t>
      </w:r>
    </w:p>
    <w:p w14:paraId="33962368">
      <w:pPr>
        <w:adjustRightInd w:val="0"/>
        <w:spacing w:line="360" w:lineRule="auto"/>
        <w:ind w:firstLine="420" w:firstLineChars="200"/>
        <w:rPr>
          <w:rFonts w:hint="eastAsia" w:ascii="宋体" w:hAnsi="宋体" w:eastAsia="宋体" w:cs="宋体"/>
          <w:color w:val="auto"/>
          <w:sz w:val="21"/>
          <w:szCs w:val="21"/>
          <w:highlight w:val="none"/>
        </w:rPr>
      </w:pPr>
      <w:bookmarkStart w:id="223" w:name="_Toc234382895"/>
      <w:r>
        <w:rPr>
          <w:rFonts w:hint="eastAsia" w:ascii="宋体" w:hAnsi="宋体" w:eastAsia="宋体" w:cs="宋体"/>
          <w:color w:val="auto"/>
          <w:sz w:val="21"/>
          <w:szCs w:val="21"/>
          <w:highlight w:val="none"/>
        </w:rPr>
        <w:t>14．4试验和检验费用</w:t>
      </w:r>
      <w:bookmarkEnd w:id="223"/>
    </w:p>
    <w:p w14:paraId="36E2062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（1）承包人应负责提供合同和技术规范规定的试验和检验所需的全部样品，并承担其费用。</w:t>
      </w:r>
    </w:p>
    <w:p w14:paraId="11026CC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（2）在合同中明确规定的试验和检验，包括无须在工程量清单中单独列项和已在工程量清单中单独列项的试验和检验，其试验和检验的费用由承包人承担。</w:t>
      </w:r>
    </w:p>
    <w:p w14:paraId="18A230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如果监理人所要求做的试验和检验为合同未规定的或是在该材料或工程设备的制造、加工、制配场地以外的场地进行的，则检验结束后，如表明操作工艺或材料、工程设备未能符合合同规定，其费用应由承包人承担，否则，其费用应由发包人承担。</w:t>
      </w:r>
    </w:p>
    <w:p w14:paraId="3DA5BB52">
      <w:pPr>
        <w:adjustRightInd w:val="0"/>
        <w:spacing w:line="360" w:lineRule="auto"/>
        <w:ind w:firstLine="420" w:firstLineChars="200"/>
        <w:rPr>
          <w:rFonts w:hint="eastAsia" w:ascii="宋体" w:hAnsi="宋体" w:eastAsia="宋体" w:cs="宋体"/>
          <w:color w:val="auto"/>
          <w:sz w:val="21"/>
          <w:szCs w:val="21"/>
          <w:highlight w:val="none"/>
        </w:rPr>
      </w:pPr>
      <w:bookmarkStart w:id="224" w:name="_Toc234382896"/>
      <w:r>
        <w:rPr>
          <w:rFonts w:hint="eastAsia" w:ascii="宋体" w:hAnsi="宋体" w:eastAsia="宋体" w:cs="宋体"/>
          <w:color w:val="auto"/>
          <w:sz w:val="21"/>
          <w:szCs w:val="21"/>
          <w:highlight w:val="none"/>
        </w:rPr>
        <w:t>15．变更</w:t>
      </w:r>
      <w:bookmarkEnd w:id="224"/>
    </w:p>
    <w:p w14:paraId="1EBA3407">
      <w:pPr>
        <w:adjustRightInd w:val="0"/>
        <w:spacing w:line="360" w:lineRule="auto"/>
        <w:ind w:firstLine="420" w:firstLineChars="200"/>
        <w:rPr>
          <w:rFonts w:hint="eastAsia" w:ascii="宋体" w:hAnsi="宋体" w:eastAsia="宋体" w:cs="宋体"/>
          <w:color w:val="auto"/>
          <w:sz w:val="21"/>
          <w:szCs w:val="21"/>
          <w:highlight w:val="none"/>
        </w:rPr>
      </w:pPr>
      <w:bookmarkStart w:id="225" w:name="_Toc234382897"/>
      <w:r>
        <w:rPr>
          <w:rFonts w:hint="eastAsia" w:ascii="宋体" w:hAnsi="宋体" w:eastAsia="宋体" w:cs="宋体"/>
          <w:color w:val="auto"/>
          <w:sz w:val="21"/>
          <w:szCs w:val="21"/>
          <w:highlight w:val="none"/>
        </w:rPr>
        <w:t>15．1变更的范围和内容</w:t>
      </w:r>
      <w:bookmarkEnd w:id="225"/>
    </w:p>
    <w:p w14:paraId="707387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本款第（1）项细化为：</w:t>
      </w:r>
    </w:p>
    <w:p w14:paraId="3C40E2E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（1）取消合同中任何一项工作，但被取消的工作不能转由发包人或其他人实施，由于承包人违约造成的情况除外；</w:t>
      </w:r>
    </w:p>
    <w:p w14:paraId="45718255">
      <w:pPr>
        <w:adjustRightInd w:val="0"/>
        <w:spacing w:line="360" w:lineRule="auto"/>
        <w:ind w:firstLine="420" w:firstLineChars="200"/>
        <w:rPr>
          <w:rFonts w:hint="eastAsia" w:ascii="宋体" w:hAnsi="宋体" w:eastAsia="宋体" w:cs="宋体"/>
          <w:color w:val="auto"/>
          <w:sz w:val="21"/>
          <w:szCs w:val="21"/>
          <w:highlight w:val="none"/>
        </w:rPr>
      </w:pPr>
      <w:bookmarkStart w:id="226" w:name="_Toc234382898"/>
      <w:r>
        <w:rPr>
          <w:rFonts w:hint="eastAsia" w:ascii="宋体" w:hAnsi="宋体" w:eastAsia="宋体" w:cs="宋体"/>
          <w:color w:val="auto"/>
          <w:sz w:val="21"/>
          <w:szCs w:val="21"/>
          <w:highlight w:val="none"/>
        </w:rPr>
        <w:t>15．3变更程序</w:t>
      </w:r>
      <w:bookmarkEnd w:id="226"/>
    </w:p>
    <w:p w14:paraId="5CD5A06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本款补充第15.3.4项：</w:t>
      </w:r>
    </w:p>
    <w:p w14:paraId="71A5E66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15.3.4设计变更程序应执行《公路工程设计变更管理办法》的相关规定。</w:t>
      </w:r>
    </w:p>
    <w:p w14:paraId="060C9E0C">
      <w:pPr>
        <w:adjustRightInd w:val="0"/>
        <w:spacing w:line="360" w:lineRule="auto"/>
        <w:ind w:firstLine="420" w:firstLineChars="200"/>
        <w:rPr>
          <w:rFonts w:hint="eastAsia" w:ascii="宋体" w:hAnsi="宋体" w:eastAsia="宋体" w:cs="宋体"/>
          <w:color w:val="auto"/>
          <w:sz w:val="21"/>
          <w:szCs w:val="21"/>
          <w:highlight w:val="none"/>
        </w:rPr>
      </w:pPr>
      <w:bookmarkStart w:id="227" w:name="_Toc234382899"/>
      <w:r>
        <w:rPr>
          <w:rFonts w:hint="eastAsia" w:ascii="宋体" w:hAnsi="宋体" w:eastAsia="宋体" w:cs="宋体"/>
          <w:color w:val="auto"/>
          <w:sz w:val="21"/>
          <w:szCs w:val="21"/>
          <w:highlight w:val="none"/>
        </w:rPr>
        <w:t>15．4变更的估价原则</w:t>
      </w:r>
      <w:bookmarkEnd w:id="227"/>
    </w:p>
    <w:p w14:paraId="5EEF6A2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6218E71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除项目专用合同条款另有约定外，因变更引起的价格调整按照本款约定处理。</w:t>
      </w:r>
    </w:p>
    <w:p w14:paraId="2F25524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15.4.1如果取消某项工作，则该项工作的总额价不予以支付；</w:t>
      </w:r>
    </w:p>
    <w:p w14:paraId="04BB52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15.4.2已标价工程量清单中有适用于变更工作的子目的，采用该子目的单价。</w:t>
      </w:r>
    </w:p>
    <w:p w14:paraId="746DF33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15.4.3已标价工程量清单中无适用于变更工作的子目，但有类似子目的，可在合理范围内参照类似子目的单价，由监理人按第3.5款商定或确定变更工作的单价。</w:t>
      </w:r>
    </w:p>
    <w:p w14:paraId="1D4FF81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15.4.4已标价工程量清单中无适用或类似子目的单价，可在综合考虑承包人在投标时所提供的单价分析表的基础上，由监理人按第3.5款商定或确定变更工作的单价。</w:t>
      </w:r>
    </w:p>
    <w:p w14:paraId="17592C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15.4.5如果本工程的变更指示是因承包人过错、承包人建反合同或承包人责任造成的，则这种违约引起的任何额外费用应由承包人承担。</w:t>
      </w:r>
    </w:p>
    <w:p w14:paraId="79DE09E0">
      <w:pPr>
        <w:adjustRightInd w:val="0"/>
        <w:spacing w:line="360" w:lineRule="auto"/>
        <w:ind w:firstLine="420" w:firstLineChars="200"/>
        <w:rPr>
          <w:rFonts w:hint="eastAsia" w:ascii="宋体" w:hAnsi="宋体" w:eastAsia="宋体" w:cs="宋体"/>
          <w:color w:val="auto"/>
          <w:sz w:val="21"/>
          <w:szCs w:val="21"/>
          <w:highlight w:val="none"/>
        </w:rPr>
      </w:pPr>
      <w:bookmarkStart w:id="228" w:name="_Toc234382900"/>
      <w:r>
        <w:rPr>
          <w:rFonts w:hint="eastAsia" w:ascii="宋体" w:hAnsi="宋体" w:eastAsia="宋体" w:cs="宋体"/>
          <w:color w:val="auto"/>
          <w:sz w:val="21"/>
          <w:szCs w:val="21"/>
          <w:highlight w:val="none"/>
        </w:rPr>
        <w:t>15.5承包人的合理化建议</w:t>
      </w:r>
      <w:bookmarkEnd w:id="228"/>
    </w:p>
    <w:p w14:paraId="66FABF0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第15.5.2项约定为：</w:t>
      </w:r>
    </w:p>
    <w:p w14:paraId="013525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承包人提出的合理化建议缩短了工期，发包人按第11.6款的规定给予奖励。</w:t>
      </w:r>
    </w:p>
    <w:p w14:paraId="0077D4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承包人提出的合理化建议降低了合同价格或者提高了工程经济效益的，发包人按项目专用合同条款数据表中规定的金额给予奖励。</w:t>
      </w:r>
    </w:p>
    <w:p w14:paraId="07F62DDB">
      <w:pPr>
        <w:adjustRightInd w:val="0"/>
        <w:spacing w:line="360" w:lineRule="auto"/>
        <w:ind w:firstLine="420" w:firstLineChars="200"/>
        <w:rPr>
          <w:rFonts w:hint="eastAsia" w:ascii="宋体" w:hAnsi="宋体" w:eastAsia="宋体" w:cs="宋体"/>
          <w:color w:val="auto"/>
          <w:sz w:val="21"/>
          <w:szCs w:val="21"/>
          <w:highlight w:val="none"/>
        </w:rPr>
      </w:pPr>
      <w:bookmarkStart w:id="229" w:name="_Toc234382901"/>
      <w:r>
        <w:rPr>
          <w:rFonts w:hint="eastAsia" w:ascii="宋体" w:hAnsi="宋体" w:eastAsia="宋体" w:cs="宋体"/>
          <w:color w:val="auto"/>
          <w:sz w:val="21"/>
          <w:szCs w:val="21"/>
          <w:highlight w:val="none"/>
        </w:rPr>
        <w:t>15.6暂列金额</w:t>
      </w:r>
      <w:bookmarkEnd w:id="229"/>
    </w:p>
    <w:p w14:paraId="102FF2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5F8C67C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15.6.l暂列金额应由监理人报发包人批准后指令全部或部分地使用，或者根本不予动用。</w:t>
      </w:r>
    </w:p>
    <w:p w14:paraId="5C28234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15.6.2对于经发包人批准的每一笔暂列金额，监理人有权向承包人发出实施工程或提供材料、工程设备或服务的指令。这些指令应由承包人完成，监理人应根据第15.4款约定的变更估价原则和第15.7款的规定，对合同价格进行相应调整。</w:t>
      </w:r>
    </w:p>
    <w:p w14:paraId="2A656A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15.6.3当监理人提出要求时，承包人应提供有关暂列金额支出的所有报价单、发票、凭证和账单或收据，除非该工作是根据已标价工程量清单列明的单价或总额价进行的估价。</w:t>
      </w:r>
    </w:p>
    <w:p w14:paraId="75AD4262">
      <w:pPr>
        <w:adjustRightInd w:val="0"/>
        <w:spacing w:line="360" w:lineRule="auto"/>
        <w:ind w:firstLine="420" w:firstLineChars="200"/>
        <w:rPr>
          <w:rFonts w:hint="eastAsia" w:ascii="宋体" w:hAnsi="宋体" w:eastAsia="宋体" w:cs="宋体"/>
          <w:color w:val="auto"/>
          <w:sz w:val="21"/>
          <w:szCs w:val="21"/>
          <w:highlight w:val="none"/>
        </w:rPr>
      </w:pPr>
      <w:bookmarkStart w:id="230" w:name="_Toc234382902"/>
      <w:r>
        <w:rPr>
          <w:rFonts w:hint="eastAsia" w:ascii="宋体" w:hAnsi="宋体" w:eastAsia="宋体" w:cs="宋体"/>
          <w:color w:val="auto"/>
          <w:sz w:val="21"/>
          <w:szCs w:val="21"/>
          <w:highlight w:val="none"/>
        </w:rPr>
        <w:t>16.价格调整</w:t>
      </w:r>
      <w:bookmarkEnd w:id="230"/>
    </w:p>
    <w:p w14:paraId="4C095C6A">
      <w:pPr>
        <w:adjustRightInd w:val="0"/>
        <w:spacing w:line="360" w:lineRule="auto"/>
        <w:ind w:firstLine="420" w:firstLineChars="200"/>
        <w:rPr>
          <w:rFonts w:hint="eastAsia" w:ascii="宋体" w:hAnsi="宋体" w:eastAsia="宋体" w:cs="宋体"/>
          <w:color w:val="auto"/>
          <w:sz w:val="21"/>
          <w:szCs w:val="21"/>
          <w:highlight w:val="none"/>
        </w:rPr>
      </w:pPr>
      <w:bookmarkStart w:id="231" w:name="_Toc234382903"/>
      <w:r>
        <w:rPr>
          <w:rFonts w:hint="eastAsia" w:ascii="宋体" w:hAnsi="宋体" w:eastAsia="宋体" w:cs="宋体"/>
          <w:color w:val="auto"/>
          <w:sz w:val="21"/>
          <w:szCs w:val="21"/>
          <w:highlight w:val="none"/>
        </w:rPr>
        <w:t>16.1物价波动引起的价格调整</w:t>
      </w:r>
      <w:bookmarkEnd w:id="231"/>
    </w:p>
    <w:p w14:paraId="0ACF4EC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1E0372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（1）在合同执行期间（包括工期拖延期间），由于人工、材料和设备价格的上涨而引起工程施工成本增加的风险由承包人自行承担，合同价格不会因此而调整。</w:t>
      </w:r>
    </w:p>
    <w:p w14:paraId="2691C1AA">
      <w:pPr>
        <w:adjustRightInd w:val="0"/>
        <w:spacing w:line="360" w:lineRule="auto"/>
        <w:ind w:firstLine="420" w:firstLineChars="200"/>
        <w:rPr>
          <w:rFonts w:hint="eastAsia" w:ascii="宋体" w:hAnsi="宋体" w:eastAsia="宋体" w:cs="宋体"/>
          <w:color w:val="auto"/>
          <w:sz w:val="21"/>
          <w:szCs w:val="21"/>
          <w:highlight w:val="none"/>
        </w:rPr>
      </w:pPr>
      <w:bookmarkStart w:id="232" w:name="_Toc234382904"/>
      <w:r>
        <w:rPr>
          <w:rFonts w:hint="eastAsia" w:ascii="宋体" w:hAnsi="宋体" w:eastAsia="宋体" w:cs="宋体"/>
          <w:color w:val="auto"/>
          <w:sz w:val="21"/>
          <w:szCs w:val="21"/>
          <w:highlight w:val="none"/>
        </w:rPr>
        <w:t>17.计量与支付</w:t>
      </w:r>
      <w:bookmarkEnd w:id="232"/>
      <w:bookmarkStart w:id="233" w:name="_Toc234382905"/>
    </w:p>
    <w:p w14:paraId="575563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17.1计量</w:t>
      </w:r>
      <w:bookmarkEnd w:id="233"/>
    </w:p>
    <w:p w14:paraId="5345B2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17.1.2计量方法</w:t>
      </w:r>
    </w:p>
    <w:p w14:paraId="63F229F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0FC2062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工程的计量应以净值为准，除非项目专用合同条款另有约定。工程量清单中各个子目的具体计量方法按本合同文件技术规范中的规定执行。</w:t>
      </w:r>
    </w:p>
    <w:p w14:paraId="1C43568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17.1.4单价子目的计量</w:t>
      </w:r>
    </w:p>
    <w:p w14:paraId="613EB95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3A2DD15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（7）承包人未在已标价工程量清单</w:t>
      </w:r>
      <w:r>
        <w:rPr>
          <w:rFonts w:hint="eastAsia" w:ascii="宋体" w:hAnsi="宋体" w:cs="宋体"/>
          <w:color w:val="auto"/>
          <w:sz w:val="21"/>
          <w:szCs w:val="21"/>
          <w:highlight w:val="none"/>
          <w:lang w:val="en-US" w:eastAsia="zh-CN"/>
        </w:rPr>
        <w:t>100章</w:t>
      </w:r>
      <w:r>
        <w:rPr>
          <w:rFonts w:hint="eastAsia" w:ascii="宋体" w:hAnsi="宋体" w:eastAsia="宋体" w:cs="宋体"/>
          <w:color w:val="auto"/>
          <w:sz w:val="21"/>
          <w:szCs w:val="21"/>
          <w:highlight w:val="none"/>
        </w:rPr>
        <w:t>中填入单价或总额价的工程子目，将被认为其已包含在本合同的其他子目的单价和总额价中，发包人将不另行支付。</w:t>
      </w:r>
    </w:p>
    <w:p w14:paraId="79697E0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17.2预付款</w:t>
      </w:r>
    </w:p>
    <w:p w14:paraId="38ECA7D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17.2.1预付款</w:t>
      </w:r>
    </w:p>
    <w:p w14:paraId="36F1D2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1D19A71C">
      <w:pPr>
        <w:adjustRightInd w:val="0"/>
        <w:spacing w:line="360" w:lineRule="auto"/>
        <w:ind w:firstLine="420" w:firstLineChars="200"/>
        <w:rPr>
          <w:rFonts w:hint="eastAsia" w:ascii="宋体" w:hAnsi="宋体" w:eastAsia="宋体" w:cs="宋体"/>
          <w:color w:val="auto"/>
          <w:sz w:val="21"/>
          <w:szCs w:val="21"/>
          <w:highlight w:val="none"/>
        </w:rPr>
      </w:pPr>
      <w:bookmarkStart w:id="234" w:name="_Toc234382910"/>
      <w:r>
        <w:rPr>
          <w:rFonts w:hint="eastAsia" w:ascii="宋体" w:hAnsi="宋体" w:eastAsia="宋体" w:cs="宋体"/>
          <w:color w:val="auto"/>
          <w:sz w:val="21"/>
          <w:szCs w:val="21"/>
          <w:highlight w:val="none"/>
        </w:rPr>
        <w:t>预付款包括开工预付款和材料、设备预付款。具体额度和预付办法如下：</w:t>
      </w:r>
    </w:p>
    <w:p w14:paraId="0131E1A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（1）开工预付款的金额在项目专用合同条款数据表中约定。在承包人签订了合同协议书且承包人承诺的主要设备进场后，监理人应在当期进度付款证书中向承包人支付开工预付款。</w:t>
      </w:r>
    </w:p>
    <w:p w14:paraId="4AE9FBA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承包人不得将该预付款用于与本工程无关的支出，监理人有权监督承包人对该项费用的使用，如经查实承包人滥用开工预付款，发包人有权立即向银行索赔履约保证金，并解除合同。</w:t>
      </w:r>
    </w:p>
    <w:p w14:paraId="3586DD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（2）材料、设备预付款按项目专用合同条款数据表中所列主要材料、设备单据费用（进口的材料、设备为到岸价，国内釆购的为出厂价或销售价，地方材料为堆场价）的百分比支付。其预付条件为：</w:t>
      </w:r>
    </w:p>
    <w:p w14:paraId="0D3FACA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a.材料、设备符合规范要求并经监理人认可；</w:t>
      </w:r>
    </w:p>
    <w:p w14:paraId="678F3A4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b.承包人己出具材料、设备费用凭证或支付单据；</w:t>
      </w:r>
    </w:p>
    <w:p w14:paraId="5DCB4C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c.材料、设备己在现场交货，且存储良好，监理人认为材料、设备的存储方法符合要求。</w:t>
      </w:r>
    </w:p>
    <w:p w14:paraId="6394ADA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则监理人应将此项金额作为材料、设备预付款计入下一次的进度付款证书中。在预计交工前3个月，将不再支付材料、设备预付款。</w:t>
      </w:r>
    </w:p>
    <w:p w14:paraId="366ED8AA">
      <w:pPr>
        <w:adjustRightInd w:val="0"/>
        <w:spacing w:line="360" w:lineRule="auto"/>
        <w:ind w:firstLine="420" w:firstLineChars="200"/>
        <w:rPr>
          <w:rFonts w:hint="eastAsia" w:ascii="宋体" w:hAnsi="宋体" w:eastAsia="宋体" w:cs="宋体"/>
          <w:color w:val="auto"/>
          <w:sz w:val="21"/>
          <w:szCs w:val="21"/>
          <w:highlight w:val="none"/>
        </w:rPr>
      </w:pPr>
      <w:bookmarkStart w:id="235" w:name="bookmark213"/>
      <w:r>
        <w:rPr>
          <w:rFonts w:hint="eastAsia" w:ascii="宋体" w:hAnsi="宋体" w:eastAsia="宋体" w:cs="宋体"/>
          <w:color w:val="auto"/>
          <w:sz w:val="21"/>
          <w:szCs w:val="21"/>
          <w:highlight w:val="none"/>
        </w:rPr>
        <w:t>17.2.2预付款保函</w:t>
      </w:r>
      <w:bookmarkEnd w:id="235"/>
    </w:p>
    <w:p w14:paraId="2A8F312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承包人无须向发包人提交预付款保函。发包人向承包人支付的预付款，应按照本合同第17.2.1项规定使用，承包人提交的履约保证金对预付款的正常使用承担保证责任。</w:t>
      </w:r>
    </w:p>
    <w:p w14:paraId="67B3D586">
      <w:pPr>
        <w:adjustRightInd w:val="0"/>
        <w:spacing w:line="360" w:lineRule="auto"/>
        <w:ind w:firstLine="420" w:firstLineChars="200"/>
        <w:rPr>
          <w:rFonts w:hint="eastAsia" w:ascii="宋体" w:hAnsi="宋体" w:eastAsia="宋体" w:cs="宋体"/>
          <w:color w:val="auto"/>
          <w:sz w:val="21"/>
          <w:szCs w:val="21"/>
          <w:highlight w:val="none"/>
        </w:rPr>
      </w:pPr>
      <w:bookmarkStart w:id="236" w:name="bookmark214"/>
      <w:r>
        <w:rPr>
          <w:rFonts w:hint="eastAsia" w:ascii="宋体" w:hAnsi="宋体" w:eastAsia="宋体" w:cs="宋体"/>
          <w:color w:val="auto"/>
          <w:sz w:val="21"/>
          <w:szCs w:val="21"/>
          <w:highlight w:val="none"/>
        </w:rPr>
        <w:t>17.2.3预付款的扣回与还清</w:t>
      </w:r>
      <w:bookmarkEnd w:id="236"/>
    </w:p>
    <w:p w14:paraId="64A626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2225138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开工预付款在进度付款证书的累计金额未达到签约合同价的30%之前不予扣回，在达到签约合同价30%之后，开始按工程进度以固定比例（即每完成签约合同价的1%，扣回开工预付款的2%)分期从各月的进度付款证书中扣回，全部金额在进度付款证书的累计金额达到签约合同价的80%时扣完。</w:t>
      </w:r>
    </w:p>
    <w:p w14:paraId="75744D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（2）当材料、设备己用于或安装在永久工程之中时，材料、设备预付款应从进度付款证书中扣回，扣回期不超过3个月。己经支付材料、设备预付款的材料、设备的所有权应属于发包人。</w:t>
      </w:r>
    </w:p>
    <w:p w14:paraId="6D589FEA">
      <w:pPr>
        <w:adjustRightInd w:val="0"/>
        <w:spacing w:line="360" w:lineRule="auto"/>
        <w:ind w:firstLine="420" w:firstLineChars="200"/>
        <w:rPr>
          <w:rFonts w:hint="eastAsia" w:ascii="宋体" w:hAnsi="宋体" w:eastAsia="宋体" w:cs="宋体"/>
          <w:color w:val="auto"/>
          <w:sz w:val="21"/>
          <w:szCs w:val="21"/>
          <w:highlight w:val="none"/>
        </w:rPr>
      </w:pPr>
      <w:bookmarkStart w:id="237" w:name="bookmark215"/>
      <w:r>
        <w:rPr>
          <w:rFonts w:hint="eastAsia" w:ascii="宋体" w:hAnsi="宋体" w:eastAsia="宋体" w:cs="宋体"/>
          <w:color w:val="auto"/>
          <w:sz w:val="21"/>
          <w:szCs w:val="21"/>
          <w:highlight w:val="none"/>
        </w:rPr>
        <w:t>17.3工程进度付款</w:t>
      </w:r>
      <w:bookmarkEnd w:id="237"/>
    </w:p>
    <w:p w14:paraId="6B114CD5">
      <w:pPr>
        <w:adjustRightInd w:val="0"/>
        <w:spacing w:line="360" w:lineRule="auto"/>
        <w:ind w:firstLine="420" w:firstLineChars="200"/>
        <w:rPr>
          <w:rFonts w:hint="eastAsia" w:ascii="宋体" w:hAnsi="宋体" w:eastAsia="宋体" w:cs="宋体"/>
          <w:color w:val="auto"/>
          <w:sz w:val="21"/>
          <w:szCs w:val="21"/>
          <w:highlight w:val="none"/>
        </w:rPr>
      </w:pPr>
      <w:bookmarkStart w:id="238" w:name="bookmark216"/>
      <w:r>
        <w:rPr>
          <w:rFonts w:hint="eastAsia" w:ascii="宋体" w:hAnsi="宋体" w:eastAsia="宋体" w:cs="宋体"/>
          <w:color w:val="auto"/>
          <w:sz w:val="21"/>
          <w:szCs w:val="21"/>
          <w:highlight w:val="none"/>
        </w:rPr>
        <w:t>17.3.3进度付款证书和支付时间</w:t>
      </w:r>
      <w:bookmarkEnd w:id="238"/>
    </w:p>
    <w:p w14:paraId="0D0AB41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本项（1）目补充：</w:t>
      </w:r>
    </w:p>
    <w:p w14:paraId="610C8F7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4B81347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2BCE55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发包人应在监理人收到进度付款申请单且承包人提交了合格的增值税专用发票后的28天内，将进度应付款支付给承包人。</w:t>
      </w:r>
    </w:p>
    <w:p w14:paraId="0B521C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发包人不按期支付的，按项目专用合同条款数据表中约定的利率向承包人支付逾期付款违约金。违约金计算基数为发包人的全部未付款额，时间从应付而未付该款额之日算起（不计复利）。</w:t>
      </w:r>
    </w:p>
    <w:p w14:paraId="3302429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本款补充第17.3.5项：</w:t>
      </w:r>
    </w:p>
    <w:p w14:paraId="7EC93536">
      <w:pPr>
        <w:adjustRightInd w:val="0"/>
        <w:spacing w:line="360" w:lineRule="auto"/>
        <w:ind w:firstLine="420" w:firstLineChars="200"/>
        <w:rPr>
          <w:rFonts w:hint="eastAsia" w:ascii="宋体" w:hAnsi="宋体" w:eastAsia="宋体" w:cs="宋体"/>
          <w:color w:val="auto"/>
          <w:sz w:val="21"/>
          <w:szCs w:val="21"/>
          <w:highlight w:val="none"/>
        </w:rPr>
      </w:pPr>
      <w:bookmarkStart w:id="239" w:name="bookmark217"/>
      <w:r>
        <w:rPr>
          <w:rFonts w:hint="eastAsia" w:ascii="宋体" w:hAnsi="宋体" w:eastAsia="宋体" w:cs="宋体"/>
          <w:color w:val="auto"/>
          <w:sz w:val="21"/>
          <w:szCs w:val="21"/>
          <w:highlight w:val="none"/>
        </w:rPr>
        <w:t>17.3.5农民工工资保证金</w:t>
      </w:r>
      <w:bookmarkEnd w:id="239"/>
    </w:p>
    <w:p w14:paraId="32A965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(1)为确保施工过程中农民工工资实时、足额发放到位，承包人应按照项目专用合同条款约定的时间和金额缴存农民工工资保证金。</w:t>
      </w:r>
    </w:p>
    <w:p w14:paraId="65D3D79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农民工工资保证金可釆用银行保函或现金、支票形式。釆用银行保函时，出具保函的银行须具有相应担保能力，且按照发包人批准的格式出具，所需费用由承包人承担。</w:t>
      </w:r>
    </w:p>
    <w:p w14:paraId="5006D34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农民工工资保证金的扣留条件、返还时间按照项目专用合同条款的约定执行。</w:t>
      </w:r>
    </w:p>
    <w:p w14:paraId="4F288752">
      <w:pPr>
        <w:adjustRightInd w:val="0"/>
        <w:spacing w:line="360" w:lineRule="auto"/>
        <w:ind w:firstLine="420" w:firstLineChars="200"/>
        <w:rPr>
          <w:rFonts w:hint="eastAsia" w:ascii="宋体" w:hAnsi="宋体" w:eastAsia="宋体" w:cs="宋体"/>
          <w:color w:val="auto"/>
          <w:sz w:val="21"/>
          <w:szCs w:val="21"/>
          <w:highlight w:val="none"/>
        </w:rPr>
      </w:pPr>
      <w:bookmarkStart w:id="240" w:name="bookmark218"/>
      <w:r>
        <w:rPr>
          <w:rFonts w:hint="eastAsia" w:ascii="宋体" w:hAnsi="宋体" w:eastAsia="宋体" w:cs="宋体"/>
          <w:color w:val="auto"/>
          <w:sz w:val="21"/>
          <w:szCs w:val="21"/>
          <w:highlight w:val="none"/>
        </w:rPr>
        <w:t>17.4质量保证金</w:t>
      </w:r>
      <w:bookmarkEnd w:id="240"/>
    </w:p>
    <w:p w14:paraId="094502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第17.4.1、17.4.2项细化为：</w:t>
      </w:r>
    </w:p>
    <w:p w14:paraId="2A65A85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17.4.1交工验收证书签发后14天内，承包人应向发包人缴纳质量保证金。质量保证金可釆用银行保函或现金、支票形式，金额应符合项目专用合同条款数据表的规定。釆用银行保函时，出具保函的银行须具有相应担保能力，且按照发包人批准的格式出具，所需费用由承包人承担。</w:t>
      </w:r>
    </w:p>
    <w:p w14:paraId="2CF7CD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质量保证金釆用现金、支票形式提交的，发包人应在项目专用合同条款数据表中明确是否计付利息以及利息的计算方式。</w:t>
      </w:r>
    </w:p>
    <w:p w14:paraId="7ADB545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17.4.2在第1.1.4.5目约定的缺陷责任期满，且质量监督机构己按规定对工程质量检测鉴定合格，承包人向发包人申请到期应返还承包人剩余的质量保证金金额，发包人应在14天内会同承包人按照合同约定的内容核实承包人是否完成缺陷责任。如无异议，发包人应当在核实后将剩余保证金返还承包人。</w:t>
      </w:r>
    </w:p>
    <w:p w14:paraId="0FCD5789">
      <w:pPr>
        <w:adjustRightInd w:val="0"/>
        <w:spacing w:line="360" w:lineRule="auto"/>
        <w:ind w:firstLine="420" w:firstLineChars="200"/>
        <w:rPr>
          <w:rFonts w:hint="eastAsia" w:ascii="宋体" w:hAnsi="宋体" w:eastAsia="宋体" w:cs="宋体"/>
          <w:color w:val="auto"/>
          <w:sz w:val="21"/>
          <w:szCs w:val="21"/>
          <w:highlight w:val="none"/>
        </w:rPr>
      </w:pPr>
      <w:bookmarkStart w:id="241" w:name="bookmark219"/>
      <w:r>
        <w:rPr>
          <w:rFonts w:hint="eastAsia" w:ascii="宋体" w:hAnsi="宋体" w:eastAsia="宋体" w:cs="宋体"/>
          <w:color w:val="auto"/>
          <w:sz w:val="21"/>
          <w:szCs w:val="21"/>
          <w:highlight w:val="none"/>
        </w:rPr>
        <w:t>17.5交工结算</w:t>
      </w:r>
      <w:bookmarkEnd w:id="241"/>
    </w:p>
    <w:p w14:paraId="410EDD3F">
      <w:pPr>
        <w:adjustRightInd w:val="0"/>
        <w:spacing w:line="360" w:lineRule="auto"/>
        <w:ind w:firstLine="420" w:firstLineChars="200"/>
        <w:rPr>
          <w:rFonts w:hint="eastAsia" w:ascii="宋体" w:hAnsi="宋体" w:eastAsia="宋体" w:cs="宋体"/>
          <w:color w:val="auto"/>
          <w:sz w:val="21"/>
          <w:szCs w:val="21"/>
          <w:highlight w:val="none"/>
        </w:rPr>
      </w:pPr>
      <w:bookmarkStart w:id="242" w:name="bookmark220"/>
      <w:r>
        <w:rPr>
          <w:rFonts w:hint="eastAsia" w:ascii="宋体" w:hAnsi="宋体" w:eastAsia="宋体" w:cs="宋体"/>
          <w:color w:val="auto"/>
          <w:sz w:val="21"/>
          <w:szCs w:val="21"/>
          <w:highlight w:val="none"/>
        </w:rPr>
        <w:t>17.5.1交工付款申请单</w:t>
      </w:r>
      <w:bookmarkEnd w:id="242"/>
    </w:p>
    <w:p w14:paraId="795A3C5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本项（1）目约定为：</w:t>
      </w:r>
    </w:p>
    <w:p w14:paraId="4D9DD7F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承包人向监理人提交交工付款申请单（包括相关证明材料）的份数在项目专用合同条款数据表中约定；期限：交工验收证书签发后42天内。</w:t>
      </w:r>
    </w:p>
    <w:p w14:paraId="58A2A6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17.5.2交工付款证书及支付吋间 </w:t>
      </w:r>
    </w:p>
    <w:p w14:paraId="62FEDF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26B795E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发包人应在监理人出具交工付款证书且承包人提交了合格的增值税专用发票后的14天内，将应支付款支付给承包人。发包人不按期支付的，按第17.3.3（2）目的约定，将逾期付款违约金支付给承包人。</w:t>
      </w:r>
    </w:p>
    <w:p w14:paraId="4DCD871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17.6最终结清</w:t>
      </w:r>
    </w:p>
    <w:p w14:paraId="5BE6D13E">
      <w:pPr>
        <w:adjustRightInd w:val="0"/>
        <w:spacing w:line="360" w:lineRule="auto"/>
        <w:ind w:firstLine="420" w:firstLineChars="200"/>
        <w:rPr>
          <w:rFonts w:hint="eastAsia" w:ascii="宋体" w:hAnsi="宋体" w:eastAsia="宋体" w:cs="宋体"/>
          <w:color w:val="auto"/>
          <w:sz w:val="21"/>
          <w:szCs w:val="21"/>
          <w:highlight w:val="none"/>
        </w:rPr>
      </w:pPr>
      <w:bookmarkStart w:id="243" w:name="bookmark221"/>
      <w:r>
        <w:rPr>
          <w:rFonts w:hint="eastAsia" w:ascii="宋体" w:hAnsi="宋体" w:eastAsia="宋体" w:cs="宋体"/>
          <w:color w:val="auto"/>
          <w:sz w:val="21"/>
          <w:szCs w:val="21"/>
          <w:highlight w:val="none"/>
        </w:rPr>
        <w:t>17.6.1最终结清申请单</w:t>
      </w:r>
      <w:bookmarkEnd w:id="243"/>
    </w:p>
    <w:p w14:paraId="198383B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本项（1）目约定为：</w:t>
      </w:r>
    </w:p>
    <w:bookmarkEnd w:id="234"/>
    <w:p w14:paraId="7FF59F05">
      <w:pPr>
        <w:adjustRightInd w:val="0"/>
        <w:spacing w:line="360" w:lineRule="auto"/>
        <w:ind w:firstLine="420" w:firstLineChars="200"/>
        <w:rPr>
          <w:rFonts w:hint="eastAsia" w:ascii="宋体" w:hAnsi="宋体" w:eastAsia="宋体" w:cs="宋体"/>
          <w:color w:val="auto"/>
          <w:sz w:val="21"/>
          <w:szCs w:val="21"/>
          <w:highlight w:val="none"/>
        </w:rPr>
      </w:pPr>
      <w:bookmarkStart w:id="244" w:name="_Toc234382911"/>
      <w:r>
        <w:rPr>
          <w:rFonts w:hint="eastAsia" w:ascii="宋体" w:hAnsi="宋体" w:eastAsia="宋体" w:cs="宋体"/>
          <w:color w:val="auto"/>
          <w:sz w:val="21"/>
          <w:szCs w:val="21"/>
          <w:highlight w:val="none"/>
        </w:rPr>
        <w:t>承包人向监理人提交最终结清申请单（包括相关证明材料）的份数在项目专用合同条款数据表中约定；期限：缺陷责任期终止证书签发后28天内。</w:t>
      </w:r>
    </w:p>
    <w:p w14:paraId="30D83D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最终结清申请单中的总金额应认为是代表了根据合同规定应付给承包人的全部款项的最后结算。</w:t>
      </w:r>
    </w:p>
    <w:p w14:paraId="6347FB8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17.6.2最终结清证书和支付吋间</w:t>
      </w:r>
    </w:p>
    <w:p w14:paraId="09F44B8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本项（2）目细化为：</w:t>
      </w:r>
    </w:p>
    <w:p w14:paraId="596204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(2)发包人应在监理人出具最终结清证书且承包人提交了合格的增值税专用发票后的14天内，将应支付款支付给承包人。发包人不按期支付的，按第17.3.3 (2)目的约定，将逾期付款违约金支付给承包人。</w:t>
      </w:r>
    </w:p>
    <w:p w14:paraId="0B1DDD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18．交工验收</w:t>
      </w:r>
      <w:bookmarkEnd w:id="244"/>
    </w:p>
    <w:p w14:paraId="3CAED032">
      <w:pPr>
        <w:adjustRightInd w:val="0"/>
        <w:spacing w:line="360" w:lineRule="auto"/>
        <w:ind w:firstLine="420" w:firstLineChars="200"/>
        <w:rPr>
          <w:rFonts w:hint="eastAsia" w:ascii="宋体" w:hAnsi="宋体" w:eastAsia="宋体" w:cs="宋体"/>
          <w:color w:val="auto"/>
          <w:sz w:val="21"/>
          <w:szCs w:val="21"/>
          <w:highlight w:val="none"/>
        </w:rPr>
      </w:pPr>
      <w:bookmarkStart w:id="245" w:name="_Toc234382912"/>
      <w:r>
        <w:rPr>
          <w:rFonts w:hint="eastAsia" w:ascii="宋体" w:hAnsi="宋体" w:eastAsia="宋体" w:cs="宋体"/>
          <w:color w:val="auto"/>
          <w:sz w:val="21"/>
          <w:szCs w:val="21"/>
          <w:highlight w:val="none"/>
        </w:rPr>
        <w:t>18.2交工验收申请报告</w:t>
      </w:r>
      <w:bookmarkEnd w:id="245"/>
    </w:p>
    <w:p w14:paraId="468F30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本款第（2）项约定为：</w:t>
      </w:r>
    </w:p>
    <w:p w14:paraId="739119E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竣工资料的内容：承包人应按照《公路工程竣（交）工验收办法》和相关规定编制竣工资料。</w:t>
      </w:r>
    </w:p>
    <w:p w14:paraId="0842D98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竣工资料的份数在项目专用合同条款数据表中约定。</w:t>
      </w:r>
    </w:p>
    <w:p w14:paraId="54D3C102">
      <w:pPr>
        <w:adjustRightInd w:val="0"/>
        <w:spacing w:line="360" w:lineRule="auto"/>
        <w:ind w:firstLine="420" w:firstLineChars="200"/>
        <w:rPr>
          <w:rFonts w:hint="eastAsia" w:ascii="宋体" w:hAnsi="宋体" w:eastAsia="宋体" w:cs="宋体"/>
          <w:color w:val="auto"/>
          <w:sz w:val="21"/>
          <w:szCs w:val="21"/>
          <w:highlight w:val="none"/>
        </w:rPr>
      </w:pPr>
      <w:bookmarkStart w:id="246" w:name="_Toc234382913"/>
      <w:r>
        <w:rPr>
          <w:rFonts w:hint="eastAsia" w:ascii="宋体" w:hAnsi="宋体" w:eastAsia="宋体" w:cs="宋体"/>
          <w:color w:val="auto"/>
          <w:sz w:val="21"/>
          <w:szCs w:val="21"/>
          <w:highlight w:val="none"/>
        </w:rPr>
        <w:t>18.3 验收</w:t>
      </w:r>
      <w:bookmarkEnd w:id="246"/>
    </w:p>
    <w:p w14:paraId="2ECA1E8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第18.3.2项补充：</w:t>
      </w:r>
    </w:p>
    <w:p w14:paraId="6698B9D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工验收由发包人主持，由发包人、监理人、质监、设计、施工、运营、管理养护等有关部门代表组成交工验收小组，对本项目的工程质量进行评定，并写出交工验收报告报交通主管部门备案。承包人应按发包人的要求提交竣工资料，完成交工验收准备工作。</w:t>
      </w:r>
    </w:p>
    <w:p w14:paraId="369E4C0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第18.3.5项约定为：</w:t>
      </w:r>
    </w:p>
    <w:p w14:paraId="33A3AF3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经验收合格工程的实际交工日期，以最终提交交工验收申请报告的日期为准，并在交工验收证书中写明。</w:t>
      </w:r>
    </w:p>
    <w:p w14:paraId="389F4CD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本款补充第18.3.7项：</w:t>
      </w:r>
    </w:p>
    <w:p w14:paraId="6693C59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组织办理交工验收和签发交工验收证书的费用由发包人承担。但按照第18.3.4项规定达不到合格标准的交工验收费用由承包人承担。</w:t>
      </w:r>
    </w:p>
    <w:p w14:paraId="208B21FE">
      <w:pPr>
        <w:adjustRightInd w:val="0"/>
        <w:spacing w:line="360" w:lineRule="auto"/>
        <w:ind w:firstLine="420" w:firstLineChars="200"/>
        <w:rPr>
          <w:rFonts w:hint="eastAsia" w:ascii="宋体" w:hAnsi="宋体" w:eastAsia="宋体" w:cs="宋体"/>
          <w:color w:val="auto"/>
          <w:sz w:val="21"/>
          <w:szCs w:val="21"/>
          <w:highlight w:val="none"/>
        </w:rPr>
      </w:pPr>
    </w:p>
    <w:p w14:paraId="10647A1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本条补充第18.9款：</w:t>
      </w:r>
    </w:p>
    <w:p w14:paraId="4C832E00">
      <w:pPr>
        <w:adjustRightInd w:val="0"/>
        <w:spacing w:line="360" w:lineRule="auto"/>
        <w:ind w:firstLine="420" w:firstLineChars="200"/>
        <w:rPr>
          <w:rFonts w:hint="eastAsia" w:ascii="宋体" w:hAnsi="宋体" w:eastAsia="宋体" w:cs="宋体"/>
          <w:color w:val="auto"/>
          <w:sz w:val="21"/>
          <w:szCs w:val="21"/>
          <w:highlight w:val="none"/>
        </w:rPr>
      </w:pPr>
      <w:bookmarkStart w:id="247" w:name="_Toc234382914"/>
      <w:r>
        <w:rPr>
          <w:rFonts w:hint="eastAsia" w:ascii="宋体" w:hAnsi="宋体" w:eastAsia="宋体" w:cs="宋体"/>
          <w:color w:val="auto"/>
          <w:sz w:val="21"/>
          <w:szCs w:val="21"/>
          <w:highlight w:val="none"/>
        </w:rPr>
        <w:t>18.9竣工文件</w:t>
      </w:r>
      <w:bookmarkEnd w:id="247"/>
    </w:p>
    <w:p w14:paraId="1F3F43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承包人应按照《公路工程竣（交）工验收办法》中的相关规定，在缺陷责任期内为竣工验收补充军工资了，并在签发缺陷责任期终止证书之前提交。</w:t>
      </w:r>
    </w:p>
    <w:p w14:paraId="21C65044">
      <w:pPr>
        <w:adjustRightInd w:val="0"/>
        <w:spacing w:line="360" w:lineRule="auto"/>
        <w:ind w:firstLine="420" w:firstLineChars="200"/>
        <w:rPr>
          <w:rFonts w:hint="eastAsia" w:ascii="宋体" w:hAnsi="宋体" w:eastAsia="宋体" w:cs="宋体"/>
          <w:color w:val="auto"/>
          <w:sz w:val="21"/>
          <w:szCs w:val="21"/>
          <w:highlight w:val="none"/>
        </w:rPr>
      </w:pPr>
      <w:bookmarkStart w:id="248" w:name="_Toc234382915"/>
      <w:r>
        <w:rPr>
          <w:rFonts w:hint="eastAsia" w:ascii="宋体" w:hAnsi="宋体" w:eastAsia="宋体" w:cs="宋体"/>
          <w:color w:val="auto"/>
          <w:sz w:val="21"/>
          <w:szCs w:val="21"/>
          <w:highlight w:val="none"/>
        </w:rPr>
        <w:t>19．缺陷责任与保修责任</w:t>
      </w:r>
      <w:bookmarkEnd w:id="248"/>
    </w:p>
    <w:p w14:paraId="0712B6B0">
      <w:pPr>
        <w:adjustRightInd w:val="0"/>
        <w:spacing w:line="360" w:lineRule="auto"/>
        <w:ind w:firstLine="420" w:firstLineChars="200"/>
        <w:rPr>
          <w:rFonts w:hint="eastAsia" w:ascii="宋体" w:hAnsi="宋体" w:eastAsia="宋体" w:cs="宋体"/>
          <w:color w:val="auto"/>
          <w:sz w:val="21"/>
          <w:szCs w:val="21"/>
          <w:highlight w:val="none"/>
        </w:rPr>
      </w:pPr>
      <w:bookmarkStart w:id="249" w:name="_Toc234382916"/>
      <w:r>
        <w:rPr>
          <w:rFonts w:hint="eastAsia" w:ascii="宋体" w:hAnsi="宋体" w:eastAsia="宋体" w:cs="宋体"/>
          <w:color w:val="auto"/>
          <w:sz w:val="21"/>
          <w:szCs w:val="21"/>
          <w:highlight w:val="none"/>
        </w:rPr>
        <w:t>19.2缺陷责任</w:t>
      </w:r>
      <w:bookmarkEnd w:id="249"/>
    </w:p>
    <w:p w14:paraId="2729623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第19.2.2项补充：</w:t>
      </w:r>
    </w:p>
    <w:p w14:paraId="20E7ED4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在缺陷责任期内，承包人应尽快完成在交工验收证书中写明的未完成工作，并完成对本工程缺陷的修复或监理人指令的修补工作。</w:t>
      </w:r>
    </w:p>
    <w:p w14:paraId="3A12480E">
      <w:pPr>
        <w:adjustRightInd w:val="0"/>
        <w:spacing w:line="360" w:lineRule="auto"/>
        <w:ind w:firstLine="420" w:firstLineChars="200"/>
        <w:rPr>
          <w:rFonts w:hint="eastAsia" w:ascii="宋体" w:hAnsi="宋体" w:eastAsia="宋体" w:cs="宋体"/>
          <w:color w:val="auto"/>
          <w:sz w:val="21"/>
          <w:szCs w:val="21"/>
          <w:highlight w:val="none"/>
        </w:rPr>
      </w:pPr>
      <w:bookmarkStart w:id="250" w:name="_Toc234382917"/>
      <w:r>
        <w:rPr>
          <w:rFonts w:hint="eastAsia" w:ascii="宋体" w:hAnsi="宋体" w:eastAsia="宋体" w:cs="宋体"/>
          <w:color w:val="auto"/>
          <w:sz w:val="21"/>
          <w:szCs w:val="21"/>
          <w:highlight w:val="none"/>
        </w:rPr>
        <w:t>19.5承包人的进入权</w:t>
      </w:r>
      <w:bookmarkEnd w:id="250"/>
    </w:p>
    <w:p w14:paraId="3A5D00D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本款补充：</w:t>
      </w:r>
    </w:p>
    <w:p w14:paraId="0D94EF4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承包人在缺陷修复施工过程中，应服从管养单位的有关安全管理规定，由于承包人自身原因造成的人员伤亡、设备和材料的损毁及罚款等责任由承包人自负。</w:t>
      </w:r>
    </w:p>
    <w:p w14:paraId="423FCDDB">
      <w:pPr>
        <w:adjustRightInd w:val="0"/>
        <w:spacing w:line="360" w:lineRule="auto"/>
        <w:ind w:firstLine="420" w:firstLineChars="200"/>
        <w:rPr>
          <w:rFonts w:hint="eastAsia" w:ascii="宋体" w:hAnsi="宋体" w:eastAsia="宋体" w:cs="宋体"/>
          <w:color w:val="auto"/>
          <w:sz w:val="21"/>
          <w:szCs w:val="21"/>
          <w:highlight w:val="none"/>
        </w:rPr>
      </w:pPr>
      <w:bookmarkStart w:id="251" w:name="_Toc234382918"/>
      <w:r>
        <w:rPr>
          <w:rFonts w:hint="eastAsia" w:ascii="宋体" w:hAnsi="宋体" w:eastAsia="宋体" w:cs="宋体"/>
          <w:color w:val="auto"/>
          <w:sz w:val="21"/>
          <w:szCs w:val="21"/>
          <w:highlight w:val="none"/>
        </w:rPr>
        <w:t>19.7保修责任</w:t>
      </w:r>
      <w:bookmarkEnd w:id="251"/>
    </w:p>
    <w:p w14:paraId="491579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本款细化为：</w:t>
      </w:r>
    </w:p>
    <w:p w14:paraId="717FCB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491575E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（2）在全部工程交工验收前，已经发包人提前验收的单位工程，其保修期的起算日期相应提前。</w:t>
      </w:r>
    </w:p>
    <w:p w14:paraId="7C3D8D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（3）工程保修期终止后28天内，监理人签发保修期终止证书。</w:t>
      </w:r>
    </w:p>
    <w:p w14:paraId="3A790AE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（4）若承包人不履行保修义务和责任，则承包人应承担由于违约造成的法律后果，并由发包人将其违约行为上报省级交通主管部门，作为不良记录纳入公路建设时常信用信息管理系统。</w:t>
      </w:r>
    </w:p>
    <w:p w14:paraId="680938D5">
      <w:pPr>
        <w:adjustRightInd w:val="0"/>
        <w:spacing w:line="360" w:lineRule="auto"/>
        <w:ind w:firstLine="420" w:firstLineChars="200"/>
        <w:rPr>
          <w:rFonts w:hint="eastAsia" w:ascii="宋体" w:hAnsi="宋体" w:eastAsia="宋体" w:cs="宋体"/>
          <w:color w:val="auto"/>
          <w:sz w:val="21"/>
          <w:szCs w:val="21"/>
          <w:highlight w:val="none"/>
        </w:rPr>
      </w:pPr>
      <w:bookmarkStart w:id="252" w:name="_Toc234382919"/>
      <w:r>
        <w:rPr>
          <w:rFonts w:hint="eastAsia" w:ascii="宋体" w:hAnsi="宋体" w:eastAsia="宋体" w:cs="宋体"/>
          <w:color w:val="auto"/>
          <w:sz w:val="21"/>
          <w:szCs w:val="21"/>
          <w:highlight w:val="none"/>
        </w:rPr>
        <w:t>20.保险</w:t>
      </w:r>
      <w:bookmarkEnd w:id="252"/>
    </w:p>
    <w:p w14:paraId="6FC6864D">
      <w:pPr>
        <w:adjustRightInd w:val="0"/>
        <w:spacing w:line="360" w:lineRule="auto"/>
        <w:ind w:firstLine="420" w:firstLineChars="200"/>
        <w:rPr>
          <w:rFonts w:hint="eastAsia" w:ascii="宋体" w:hAnsi="宋体" w:eastAsia="宋体" w:cs="宋体"/>
          <w:color w:val="auto"/>
          <w:sz w:val="21"/>
          <w:szCs w:val="21"/>
          <w:highlight w:val="none"/>
        </w:rPr>
      </w:pPr>
      <w:bookmarkStart w:id="253" w:name="_Toc234382920"/>
      <w:r>
        <w:rPr>
          <w:rFonts w:hint="eastAsia" w:ascii="宋体" w:hAnsi="宋体" w:eastAsia="宋体" w:cs="宋体"/>
          <w:color w:val="auto"/>
          <w:sz w:val="21"/>
          <w:szCs w:val="21"/>
          <w:highlight w:val="none"/>
        </w:rPr>
        <w:t>20.1工程保险</w:t>
      </w:r>
      <w:bookmarkEnd w:id="253"/>
    </w:p>
    <w:p w14:paraId="73CF6AE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187238F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建筑工程—切险的投保内容：为本合同工程的永久工程、临时工程和设备及已运至施工工地用于永久工程的材料和设备所投的保险。</w:t>
      </w:r>
    </w:p>
    <w:p w14:paraId="5A64AF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保险金额：工程量清单第100章（不含建筑工程一切险及第三者责任险的保险费）至700章的合计金额。</w:t>
      </w:r>
    </w:p>
    <w:p w14:paraId="0E22011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保险费率：在项目专用条款数据表中约定。</w:t>
      </w:r>
    </w:p>
    <w:p w14:paraId="774D988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保险期限：开工日起直至本合同工程签发缺陷责任期终止证书止（即合同工期＋缺陷责任期）</w:t>
      </w:r>
    </w:p>
    <w:p w14:paraId="405D8A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承包人应以发包人和承包人的共同名义投保建筑工程一切险。建筑工程一切险的保险费由承包人报价时列入工程量清单100章内。发包人在接到保险单后，将按照保险单的费用直接向承包人支付。</w:t>
      </w:r>
    </w:p>
    <w:p w14:paraId="22B14180">
      <w:pPr>
        <w:adjustRightInd w:val="0"/>
        <w:spacing w:line="360" w:lineRule="auto"/>
        <w:ind w:firstLine="420" w:firstLineChars="200"/>
        <w:rPr>
          <w:rFonts w:hint="eastAsia" w:ascii="宋体" w:hAnsi="宋体" w:eastAsia="宋体" w:cs="宋体"/>
          <w:color w:val="auto"/>
          <w:sz w:val="21"/>
          <w:szCs w:val="21"/>
          <w:highlight w:val="none"/>
        </w:rPr>
      </w:pPr>
      <w:bookmarkStart w:id="254" w:name="_Toc234382921"/>
      <w:r>
        <w:rPr>
          <w:rFonts w:hint="eastAsia" w:ascii="宋体" w:hAnsi="宋体" w:eastAsia="宋体" w:cs="宋体"/>
          <w:color w:val="auto"/>
          <w:sz w:val="21"/>
          <w:szCs w:val="21"/>
          <w:highlight w:val="none"/>
        </w:rPr>
        <w:t>20.4第三者责任险</w:t>
      </w:r>
      <w:bookmarkEnd w:id="254"/>
    </w:p>
    <w:p w14:paraId="1967530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第20.4.2项补充：</w:t>
      </w:r>
    </w:p>
    <w:p w14:paraId="7559D1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第三者责任险的保险费由承包人报价时列入工程量清单100章内。发包人在接到保险单后，将按照保险单的费用直接向承包人支付。</w:t>
      </w:r>
    </w:p>
    <w:p w14:paraId="78866AEE">
      <w:pPr>
        <w:adjustRightInd w:val="0"/>
        <w:spacing w:line="360" w:lineRule="auto"/>
        <w:ind w:firstLine="420" w:firstLineChars="200"/>
        <w:rPr>
          <w:rFonts w:hint="eastAsia" w:ascii="宋体" w:hAnsi="宋体" w:eastAsia="宋体" w:cs="宋体"/>
          <w:color w:val="auto"/>
          <w:sz w:val="21"/>
          <w:szCs w:val="21"/>
          <w:highlight w:val="none"/>
        </w:rPr>
      </w:pPr>
      <w:bookmarkStart w:id="255" w:name="_Toc234382922"/>
      <w:r>
        <w:rPr>
          <w:rFonts w:hint="eastAsia" w:ascii="宋体" w:hAnsi="宋体" w:eastAsia="宋体" w:cs="宋体"/>
          <w:color w:val="auto"/>
          <w:sz w:val="21"/>
          <w:szCs w:val="21"/>
          <w:highlight w:val="none"/>
        </w:rPr>
        <w:t>20.5其他保险</w:t>
      </w:r>
      <w:bookmarkEnd w:id="255"/>
    </w:p>
    <w:p w14:paraId="12F5F14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本款约定为：</w:t>
      </w:r>
    </w:p>
    <w:p w14:paraId="123707A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承包人应为其施工设备等办理保险，其投保金额应足以现场重量。办理本款保险的一切费用均由承包人承担，并包括在工程量清单的单价及总额价中，发包人不单独支付。</w:t>
      </w:r>
    </w:p>
    <w:p w14:paraId="07C92430">
      <w:pPr>
        <w:adjustRightInd w:val="0"/>
        <w:spacing w:line="360" w:lineRule="auto"/>
        <w:ind w:firstLine="420" w:firstLineChars="200"/>
        <w:rPr>
          <w:rFonts w:hint="eastAsia" w:ascii="宋体" w:hAnsi="宋体" w:eastAsia="宋体" w:cs="宋体"/>
          <w:color w:val="auto"/>
          <w:sz w:val="21"/>
          <w:szCs w:val="21"/>
          <w:highlight w:val="none"/>
        </w:rPr>
      </w:pPr>
      <w:bookmarkStart w:id="256" w:name="_Toc234382923"/>
      <w:r>
        <w:rPr>
          <w:rFonts w:hint="eastAsia" w:ascii="宋体" w:hAnsi="宋体" w:eastAsia="宋体" w:cs="宋体"/>
          <w:color w:val="auto"/>
          <w:sz w:val="21"/>
          <w:szCs w:val="21"/>
          <w:highlight w:val="none"/>
        </w:rPr>
        <w:t>20.6对各项保险的一般要求</w:t>
      </w:r>
      <w:bookmarkEnd w:id="256"/>
    </w:p>
    <w:p w14:paraId="3F9236A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20.6.1保险凭证</w:t>
      </w:r>
    </w:p>
    <w:p w14:paraId="5B1BA36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本项约定为：</w:t>
      </w:r>
    </w:p>
    <w:p w14:paraId="2E12EA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承包人向发包人提交各项保险生效的证据和保险单副本的期限：开工后56天内。</w:t>
      </w:r>
    </w:p>
    <w:p w14:paraId="506AB9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20.6.3 持续保险</w:t>
      </w:r>
    </w:p>
    <w:p w14:paraId="13824F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50A0155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在整个合同期内，承包人应按合同条款保证足够的保险额。</w:t>
      </w:r>
    </w:p>
    <w:p w14:paraId="452698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20.6.4保险金不足的补偿</w:t>
      </w:r>
    </w:p>
    <w:p w14:paraId="14A72FA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663ACC1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保险金不足补偿损失的（包括免赔额和超过赔偿限额的部分），应由承包人和（或）发包人按合同约定负责补偿。</w:t>
      </w:r>
    </w:p>
    <w:p w14:paraId="7D18E22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20.6.5未按约定投保的补救</w:t>
      </w:r>
    </w:p>
    <w:p w14:paraId="227448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731DA36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负有投保义务的一方当事人未按合同约定办理某项保险，或未按保险单规定的条件和期限及时间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2E8AEC53">
      <w:pPr>
        <w:adjustRightInd w:val="0"/>
        <w:spacing w:line="360" w:lineRule="auto"/>
        <w:ind w:firstLine="420" w:firstLineChars="200"/>
        <w:rPr>
          <w:rFonts w:hint="eastAsia" w:ascii="宋体" w:hAnsi="宋体" w:eastAsia="宋体" w:cs="宋体"/>
          <w:color w:val="auto"/>
          <w:sz w:val="21"/>
          <w:szCs w:val="21"/>
          <w:highlight w:val="none"/>
        </w:rPr>
      </w:pPr>
      <w:bookmarkStart w:id="257" w:name="_Toc234382924"/>
      <w:r>
        <w:rPr>
          <w:rFonts w:hint="eastAsia" w:ascii="宋体" w:hAnsi="宋体" w:eastAsia="宋体" w:cs="宋体"/>
          <w:color w:val="auto"/>
          <w:sz w:val="21"/>
          <w:szCs w:val="21"/>
          <w:highlight w:val="none"/>
        </w:rPr>
        <w:t>21．不可抗力</w:t>
      </w:r>
      <w:bookmarkEnd w:id="257"/>
    </w:p>
    <w:p w14:paraId="6E833621">
      <w:pPr>
        <w:adjustRightInd w:val="0"/>
        <w:spacing w:line="360" w:lineRule="auto"/>
        <w:ind w:firstLine="420" w:firstLineChars="200"/>
        <w:rPr>
          <w:rFonts w:hint="eastAsia" w:ascii="宋体" w:hAnsi="宋体" w:eastAsia="宋体" w:cs="宋体"/>
          <w:color w:val="auto"/>
          <w:sz w:val="21"/>
          <w:szCs w:val="21"/>
          <w:highlight w:val="none"/>
        </w:rPr>
      </w:pPr>
      <w:bookmarkStart w:id="258" w:name="_Toc234382925"/>
      <w:r>
        <w:rPr>
          <w:rFonts w:hint="eastAsia" w:ascii="宋体" w:hAnsi="宋体" w:eastAsia="宋体" w:cs="宋体"/>
          <w:color w:val="auto"/>
          <w:sz w:val="21"/>
          <w:szCs w:val="21"/>
          <w:highlight w:val="none"/>
        </w:rPr>
        <w:t>21.1不可抗力的确认</w:t>
      </w:r>
      <w:bookmarkEnd w:id="258"/>
    </w:p>
    <w:p w14:paraId="7DA09DD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21.1.1项细化为：</w:t>
      </w:r>
    </w:p>
    <w:p w14:paraId="7497B50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不可抗力是指承包人和发包人在订立合同时不可预见，在工程施工过程中不可避免发生并不能克服的自然灾害和社会性突发事件。包括但不限于：</w:t>
      </w:r>
    </w:p>
    <w:p w14:paraId="7802D90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（1）地震、海啸、火山爆发、泥石流、暴雨（雪）、台风、龙卷风、水灾等自然灾害；</w:t>
      </w:r>
    </w:p>
    <w:p w14:paraId="12A95EC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（2）战争、骚乱、暴动，但纯属承包人或其分包人派遣与雇用的人员由于本合同工程施工原因引起者除外；</w:t>
      </w:r>
    </w:p>
    <w:p w14:paraId="116A87F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（3）核反应、辐射或放射性污染；</w:t>
      </w:r>
    </w:p>
    <w:p w14:paraId="686EC73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（4）空中飞行物体附落或非发包人或承包人责任造成的爆炸、火灾；</w:t>
      </w:r>
    </w:p>
    <w:p w14:paraId="21DDC8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（5）瘟疫；</w:t>
      </w:r>
    </w:p>
    <w:p w14:paraId="47015B9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（6）项目专用合同条款约定的其他情形。</w:t>
      </w:r>
    </w:p>
    <w:p w14:paraId="7B1ADC0F">
      <w:pPr>
        <w:adjustRightInd w:val="0"/>
        <w:spacing w:line="360" w:lineRule="auto"/>
        <w:ind w:firstLine="420" w:firstLineChars="200"/>
        <w:rPr>
          <w:rFonts w:hint="eastAsia" w:ascii="宋体" w:hAnsi="宋体" w:eastAsia="宋体" w:cs="宋体"/>
          <w:color w:val="auto"/>
          <w:sz w:val="21"/>
          <w:szCs w:val="21"/>
          <w:highlight w:val="none"/>
        </w:rPr>
      </w:pPr>
      <w:bookmarkStart w:id="259" w:name="_Toc234382926"/>
      <w:r>
        <w:rPr>
          <w:rFonts w:hint="eastAsia" w:ascii="宋体" w:hAnsi="宋体" w:eastAsia="宋体" w:cs="宋体"/>
          <w:color w:val="auto"/>
          <w:sz w:val="21"/>
          <w:szCs w:val="21"/>
          <w:highlight w:val="none"/>
        </w:rPr>
        <w:t>21.3不可抗力后果及其处理</w:t>
      </w:r>
      <w:bookmarkEnd w:id="259"/>
    </w:p>
    <w:p w14:paraId="37AACF4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21.3.4因不可抗力解除合同</w:t>
      </w:r>
    </w:p>
    <w:p w14:paraId="4030927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7C4DAB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作，由发包人承担，因未有时退货造成的损失由责任方承担。合同解除后的付款，参照第22.2.4 项约定，由监理人按第3.5款商定或确定，但由于解除合同应赔偿的承包人损失不予考虑。</w:t>
      </w:r>
    </w:p>
    <w:p w14:paraId="5E692E59">
      <w:pPr>
        <w:adjustRightInd w:val="0"/>
        <w:spacing w:line="360" w:lineRule="auto"/>
        <w:ind w:firstLine="420" w:firstLineChars="200"/>
        <w:rPr>
          <w:rFonts w:hint="eastAsia" w:ascii="宋体" w:hAnsi="宋体" w:eastAsia="宋体" w:cs="宋体"/>
          <w:color w:val="auto"/>
          <w:sz w:val="21"/>
          <w:szCs w:val="21"/>
          <w:highlight w:val="none"/>
        </w:rPr>
      </w:pPr>
      <w:bookmarkStart w:id="260" w:name="_Toc234382927"/>
      <w:r>
        <w:rPr>
          <w:rFonts w:hint="eastAsia" w:ascii="宋体" w:hAnsi="宋体" w:eastAsia="宋体" w:cs="宋体"/>
          <w:color w:val="auto"/>
          <w:sz w:val="21"/>
          <w:szCs w:val="21"/>
          <w:highlight w:val="none"/>
        </w:rPr>
        <w:t>22．违约</w:t>
      </w:r>
      <w:bookmarkEnd w:id="260"/>
    </w:p>
    <w:p w14:paraId="6CC63417">
      <w:pPr>
        <w:adjustRightInd w:val="0"/>
        <w:spacing w:line="360" w:lineRule="auto"/>
        <w:ind w:firstLine="420" w:firstLineChars="200"/>
        <w:rPr>
          <w:rFonts w:hint="eastAsia" w:ascii="宋体" w:hAnsi="宋体" w:eastAsia="宋体" w:cs="宋体"/>
          <w:color w:val="auto"/>
          <w:sz w:val="21"/>
          <w:szCs w:val="21"/>
          <w:highlight w:val="none"/>
        </w:rPr>
      </w:pPr>
      <w:bookmarkStart w:id="261" w:name="_Toc234382928"/>
      <w:r>
        <w:rPr>
          <w:rFonts w:hint="eastAsia" w:ascii="宋体" w:hAnsi="宋体" w:eastAsia="宋体" w:cs="宋体"/>
          <w:color w:val="auto"/>
          <w:sz w:val="21"/>
          <w:szCs w:val="21"/>
          <w:highlight w:val="none"/>
        </w:rPr>
        <w:t>22.1承包人违约</w:t>
      </w:r>
      <w:bookmarkEnd w:id="261"/>
    </w:p>
    <w:p w14:paraId="09EE393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22.1.1承包人违约的情形</w:t>
      </w:r>
    </w:p>
    <w:p w14:paraId="7C056D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50722AD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（2）承包人违反第5.3款或第6.4款的约定，未经监理人批准，私自将已按合同约定进入施工场地的施工设备、临时设施、材料或工程设备撤离施工场地；</w:t>
      </w:r>
    </w:p>
    <w:p w14:paraId="305CA61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本项（7）目细化为：</w:t>
      </w:r>
    </w:p>
    <w:p w14:paraId="6880A2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（7）承包人未能按期开工；</w:t>
      </w:r>
    </w:p>
    <w:p w14:paraId="31EDC72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（8）承包人违反第4.6款或6.3款的规定，未按承诺或未按监理人的要求及时配备称职的主要管理人员、技术骨干或关键施工设备；</w:t>
      </w:r>
    </w:p>
    <w:p w14:paraId="559EBA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（9）经监理人和发包人检查，发现承包人有安全问题或有违反安全管理规章制度的情况；</w:t>
      </w:r>
    </w:p>
    <w:p w14:paraId="461CDA9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（10）承包人不按合同约定履行义务的其他情况。</w:t>
      </w:r>
    </w:p>
    <w:p w14:paraId="24FE98F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22.1.2对承包人违约的处理</w:t>
      </w:r>
    </w:p>
    <w:p w14:paraId="2E0783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5722125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发生第22.1.1项约定的违约情况时，无论发包人是否解除合同，发包人均有权向承包人课以项目专用合同条款中规定的违约金，并由发包人将其违约行为上报省级交通主管部门，作为不良记录纳入公路建设市场信用信息管理系统。</w:t>
      </w:r>
    </w:p>
    <w:p w14:paraId="24BF0C1D">
      <w:pPr>
        <w:adjustRightInd w:val="0"/>
        <w:spacing w:line="360" w:lineRule="auto"/>
        <w:ind w:firstLine="420" w:firstLineChars="200"/>
        <w:rPr>
          <w:rFonts w:hint="eastAsia" w:ascii="宋体" w:hAnsi="宋体" w:eastAsia="宋体" w:cs="宋体"/>
          <w:color w:val="auto"/>
          <w:sz w:val="21"/>
          <w:szCs w:val="21"/>
          <w:highlight w:val="none"/>
        </w:rPr>
      </w:pPr>
      <w:bookmarkStart w:id="262" w:name="_Toc234382929"/>
      <w:r>
        <w:rPr>
          <w:rFonts w:hint="eastAsia" w:ascii="宋体" w:hAnsi="宋体" w:eastAsia="宋体" w:cs="宋体"/>
          <w:color w:val="auto"/>
          <w:sz w:val="21"/>
          <w:szCs w:val="21"/>
          <w:highlight w:val="none"/>
        </w:rPr>
        <w:t>22.2发包人违约</w:t>
      </w:r>
      <w:bookmarkEnd w:id="262"/>
    </w:p>
    <w:p w14:paraId="6943F0A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22.2.1发包人违约的情形</w:t>
      </w:r>
    </w:p>
    <w:p w14:paraId="5E14F49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本项（5）目细化为：</w:t>
      </w:r>
    </w:p>
    <w:p w14:paraId="0FFF9E7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(5)发包人无正当理由不按时返还履约保证金、质量保证金或农民工工资保证金的；</w:t>
      </w:r>
    </w:p>
    <w:p w14:paraId="6E16D6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(6)发包人不履行合同约定其他义务的。</w:t>
      </w:r>
    </w:p>
    <w:p w14:paraId="7BE536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22.2.2承包人有权暂停施工</w:t>
      </w:r>
    </w:p>
    <w:p w14:paraId="583BF15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本项细化为：</w:t>
      </w:r>
    </w:p>
    <w:p w14:paraId="0CCC6DC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发包人发生除第22.2.1 (4)、(5)目以外的违约情况时，承包人可向发包人发出通知，要求发包人釆取有效措施纠正违约行为。发包人收到承包人通知后的28天内仍不履行合同义务，承包人有权暂停施工，并通知监理人，发包人应承担由此增加的费用和（或）工期延误，并支付承包人合理利润。</w:t>
      </w:r>
    </w:p>
    <w:p w14:paraId="35135EC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发包人发生第22.2.1 (5)目的违约情况时，承包人可向发包人发出通知，要求发包人釆取有效措施纠正违约行为。发包人收到承包人通知后的28天内仍不返还履约保证金、质量保证金或农民工工资保证金的，发包人应按项目专用合同条款的约定向承包人支付逾期返还保证金的违约金。</w:t>
      </w:r>
    </w:p>
    <w:p w14:paraId="4766F6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22.2.4 解除合同后的付款</w:t>
      </w:r>
    </w:p>
    <w:p w14:paraId="1C0A3D8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本项（2）目细化为：</w:t>
      </w:r>
    </w:p>
    <w:p w14:paraId="21958C0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（2）承包人为该工程施工订购并已付款的材料、工程设备和其他物品的金额，发包人付款后，该材料、工程设备和其他物品归发包人所有；</w:t>
      </w:r>
    </w:p>
    <w:p w14:paraId="69C3C790">
      <w:pPr>
        <w:adjustRightInd w:val="0"/>
        <w:spacing w:line="360" w:lineRule="auto"/>
        <w:ind w:firstLine="420" w:firstLineChars="200"/>
        <w:rPr>
          <w:rFonts w:hint="eastAsia" w:ascii="宋体" w:hAnsi="宋体" w:eastAsia="宋体" w:cs="宋体"/>
          <w:color w:val="auto"/>
          <w:sz w:val="21"/>
          <w:szCs w:val="21"/>
          <w:highlight w:val="none"/>
        </w:rPr>
      </w:pPr>
      <w:bookmarkStart w:id="263" w:name="_Toc234382930"/>
      <w:r>
        <w:rPr>
          <w:rFonts w:hint="eastAsia" w:ascii="宋体" w:hAnsi="宋体" w:eastAsia="宋体" w:cs="宋体"/>
          <w:color w:val="auto"/>
          <w:sz w:val="21"/>
          <w:szCs w:val="21"/>
          <w:highlight w:val="none"/>
        </w:rPr>
        <w:t>23.索赔</w:t>
      </w:r>
      <w:bookmarkEnd w:id="263"/>
      <w:bookmarkStart w:id="264" w:name="_Toc234382931"/>
    </w:p>
    <w:p w14:paraId="4DF9EA9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23.1承包人索赔的提出</w:t>
      </w:r>
      <w:bookmarkEnd w:id="264"/>
    </w:p>
    <w:p w14:paraId="7F5671F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本款第（4）项细化为：</w:t>
      </w:r>
    </w:p>
    <w:p w14:paraId="662134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（4）在索赔事件影响结束后的28天内，承包人应向监理人递交最终索赔通知书，说明最终要求索赔的追加付款金额和（或）延长的工期，并附必要的记录和证明材料。</w:t>
      </w:r>
      <w:bookmarkStart w:id="265" w:name="_Toc234382932"/>
    </w:p>
    <w:p w14:paraId="4CEE591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23.2承包人索赔处理程序</w:t>
      </w:r>
      <w:bookmarkEnd w:id="265"/>
    </w:p>
    <w:p w14:paraId="0B2AAD1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本款第（2）项细化为：</w:t>
      </w:r>
    </w:p>
    <w:p w14:paraId="6642939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监理人应按第3.5款商定或确定追加的付款和（或）延长的工期，并在收到上述索赔通知书或有关索赔的进一步证明材料后的42天内，将索赔处理结果报发包人批准后答复承包人。如果承包人提出的索赔要求未能遵守第23.1（2）～（4）项规定，则承包人只限于索赔由监理人按当时记当予以核实的那部分款额外负担和（或）工期延长天数。</w:t>
      </w:r>
    </w:p>
    <w:p w14:paraId="5D0E614C">
      <w:pPr>
        <w:adjustRightInd w:val="0"/>
        <w:spacing w:line="360" w:lineRule="auto"/>
        <w:ind w:firstLine="420" w:firstLineChars="200"/>
        <w:rPr>
          <w:rFonts w:hint="eastAsia" w:ascii="宋体" w:hAnsi="宋体" w:eastAsia="宋体" w:cs="宋体"/>
          <w:color w:val="auto"/>
          <w:sz w:val="21"/>
          <w:szCs w:val="21"/>
          <w:highlight w:val="none"/>
        </w:rPr>
      </w:pPr>
      <w:bookmarkStart w:id="266" w:name="_Toc234382933"/>
      <w:r>
        <w:rPr>
          <w:rFonts w:hint="eastAsia" w:ascii="宋体" w:hAnsi="宋体" w:eastAsia="宋体" w:cs="宋体"/>
          <w:color w:val="auto"/>
          <w:sz w:val="21"/>
          <w:szCs w:val="21"/>
          <w:highlight w:val="none"/>
        </w:rPr>
        <w:t>24．争议的解决</w:t>
      </w:r>
      <w:bookmarkEnd w:id="266"/>
    </w:p>
    <w:p w14:paraId="52F10BDC">
      <w:pPr>
        <w:adjustRightInd w:val="0"/>
        <w:spacing w:line="360" w:lineRule="auto"/>
        <w:ind w:firstLine="420" w:firstLineChars="200"/>
        <w:rPr>
          <w:rFonts w:hint="eastAsia" w:ascii="宋体" w:hAnsi="宋体" w:eastAsia="宋体" w:cs="宋体"/>
          <w:color w:val="auto"/>
          <w:sz w:val="21"/>
          <w:szCs w:val="21"/>
          <w:highlight w:val="none"/>
        </w:rPr>
      </w:pPr>
      <w:bookmarkStart w:id="267" w:name="_Toc234382934"/>
      <w:r>
        <w:rPr>
          <w:rFonts w:hint="eastAsia" w:ascii="宋体" w:hAnsi="宋体" w:eastAsia="宋体" w:cs="宋体"/>
          <w:color w:val="auto"/>
          <w:sz w:val="21"/>
          <w:szCs w:val="21"/>
          <w:highlight w:val="none"/>
        </w:rPr>
        <w:t>24.3争议评审</w:t>
      </w:r>
      <w:bookmarkEnd w:id="267"/>
    </w:p>
    <w:p w14:paraId="7EA4FA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第24.3.1项补充：</w:t>
      </w:r>
    </w:p>
    <w:p w14:paraId="455BE3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组由3人或5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14:paraId="1093BEC0">
      <w:pPr>
        <w:adjustRightInd w:val="0"/>
        <w:spacing w:line="360" w:lineRule="auto"/>
        <w:ind w:firstLine="420" w:firstLineChars="200"/>
        <w:rPr>
          <w:rFonts w:hint="eastAsia" w:ascii="宋体" w:hAnsi="宋体" w:eastAsia="宋体" w:cs="宋体"/>
          <w:color w:val="auto"/>
          <w:sz w:val="21"/>
          <w:szCs w:val="21"/>
          <w:highlight w:val="none"/>
        </w:rPr>
      </w:pPr>
    </w:p>
    <w:p w14:paraId="1166D2F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本条补充第24.4、第24.5款（适用于采用仲裁方式最终解决争议的项目）：</w:t>
      </w:r>
    </w:p>
    <w:p w14:paraId="1EDB6095">
      <w:pPr>
        <w:adjustRightInd w:val="0"/>
        <w:spacing w:line="360" w:lineRule="auto"/>
        <w:ind w:firstLine="420" w:firstLineChars="200"/>
        <w:rPr>
          <w:rFonts w:hint="eastAsia" w:ascii="宋体" w:hAnsi="宋体" w:eastAsia="宋体" w:cs="宋体"/>
          <w:color w:val="auto"/>
          <w:sz w:val="21"/>
          <w:szCs w:val="21"/>
          <w:highlight w:val="none"/>
        </w:rPr>
      </w:pPr>
      <w:bookmarkStart w:id="268" w:name="_Toc234382935"/>
      <w:r>
        <w:rPr>
          <w:rFonts w:hint="eastAsia" w:ascii="宋体" w:hAnsi="宋体" w:eastAsia="宋体" w:cs="宋体"/>
          <w:color w:val="auto"/>
          <w:sz w:val="21"/>
          <w:szCs w:val="21"/>
          <w:highlight w:val="none"/>
        </w:rPr>
        <w:t>24.4仲裁</w:t>
      </w:r>
      <w:bookmarkEnd w:id="268"/>
    </w:p>
    <w:p w14:paraId="4CB57C4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（1）对于未能友好解决或通过争议评审解决的争议，发包人或承包人任一方均有权提交给第24.1款约定的仲裁委员会仲裁。</w:t>
      </w:r>
    </w:p>
    <w:p w14:paraId="07A563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14:paraId="6F644E2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（3）仲裁裁决是终局性的并对发包人和承包人双方具有约束力。</w:t>
      </w:r>
    </w:p>
    <w:p w14:paraId="4C7DC73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（4）全部仲裁费用应由败诉方承担；或按仲裁员会裁决的比例分担。</w:t>
      </w:r>
    </w:p>
    <w:p w14:paraId="0E949B49">
      <w:pPr>
        <w:adjustRightInd w:val="0"/>
        <w:spacing w:line="360" w:lineRule="auto"/>
        <w:ind w:firstLine="420" w:firstLineChars="200"/>
        <w:rPr>
          <w:rFonts w:hint="eastAsia" w:ascii="宋体" w:hAnsi="宋体" w:eastAsia="宋体" w:cs="宋体"/>
          <w:color w:val="auto"/>
          <w:sz w:val="21"/>
          <w:szCs w:val="21"/>
          <w:highlight w:val="none"/>
        </w:rPr>
      </w:pPr>
      <w:bookmarkStart w:id="269" w:name="_Toc234382936"/>
      <w:r>
        <w:rPr>
          <w:rFonts w:hint="eastAsia" w:ascii="宋体" w:hAnsi="宋体" w:eastAsia="宋体" w:cs="宋体"/>
          <w:color w:val="auto"/>
          <w:sz w:val="21"/>
          <w:szCs w:val="21"/>
          <w:highlight w:val="none"/>
        </w:rPr>
        <w:t>24.5仲裁的执行</w:t>
      </w:r>
      <w:bookmarkEnd w:id="269"/>
    </w:p>
    <w:p w14:paraId="57145FD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（1）任何一方不履行仲裁机构的裁决的，对方可以向有管辖权的人民法院申请执行。</w:t>
      </w:r>
    </w:p>
    <w:p w14:paraId="4D8E8DE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任何一方提出证据证明裁决有《中华人民共和国仲裁法》第五十八条规定情形之一的，可以向仲裁委员会所在地的中级人民法院申请撤销裁决。人民法院认定执行该裁决违背社会公共利益的的，裁定不予执行。仲裁裁决被人民法院裁定不予执行的，当事人可以根据双方达成的书面仲裁协议重新申请仲裁，也可以向人民法院起诉。</w:t>
      </w:r>
    </w:p>
    <w:p w14:paraId="50449E4F">
      <w:pPr>
        <w:adjustRightInd w:val="0"/>
        <w:spacing w:line="360" w:lineRule="auto"/>
        <w:ind w:firstLine="420" w:firstLineChars="200"/>
        <w:rPr>
          <w:rFonts w:hint="eastAsia" w:ascii="宋体" w:hAnsi="宋体" w:eastAsia="宋体" w:cs="宋体"/>
          <w:color w:val="auto"/>
          <w:sz w:val="21"/>
          <w:szCs w:val="21"/>
          <w:highlight w:val="none"/>
        </w:rPr>
      </w:pPr>
    </w:p>
    <w:p w14:paraId="10C946C6">
      <w:pPr>
        <w:adjustRightInd w:val="0"/>
        <w:spacing w:line="360" w:lineRule="auto"/>
        <w:ind w:firstLine="420" w:firstLineChars="200"/>
        <w:rPr>
          <w:rFonts w:hint="eastAsia" w:ascii="宋体" w:hAnsi="宋体" w:eastAsia="宋体" w:cs="宋体"/>
          <w:color w:val="auto"/>
          <w:sz w:val="21"/>
          <w:szCs w:val="21"/>
          <w:highlight w:val="none"/>
        </w:rPr>
      </w:pPr>
    </w:p>
    <w:p w14:paraId="4CBC3EFC">
      <w:pPr>
        <w:spacing w:before="62"/>
        <w:jc w:val="center"/>
        <w:outlineLvl w:val="2"/>
        <w:rPr>
          <w:rFonts w:hint="eastAsia" w:ascii="宋体" w:hAnsi="宋体" w:eastAsia="宋体" w:cs="宋体"/>
          <w:color w:val="auto"/>
          <w:sz w:val="28"/>
          <w:szCs w:val="28"/>
          <w:highlight w:val="none"/>
        </w:rPr>
      </w:pPr>
      <w:r>
        <w:rPr>
          <w:rFonts w:hint="eastAsia" w:ascii="宋体" w:hAnsi="宋体" w:eastAsia="宋体" w:cs="宋体"/>
          <w:color w:val="auto"/>
          <w:sz w:val="21"/>
          <w:szCs w:val="21"/>
          <w:highlight w:val="none"/>
        </w:rPr>
        <w:br w:type="page"/>
      </w:r>
      <w:bookmarkStart w:id="270" w:name="_Toc23104"/>
      <w:r>
        <w:rPr>
          <w:rFonts w:hint="eastAsia" w:ascii="宋体" w:hAnsi="宋体" w:eastAsia="宋体" w:cs="宋体"/>
          <w:color w:val="auto"/>
          <w:sz w:val="28"/>
          <w:szCs w:val="28"/>
          <w:highlight w:val="none"/>
        </w:rPr>
        <w:t>B.项目专用合同条款</w:t>
      </w:r>
      <w:bookmarkEnd w:id="270"/>
    </w:p>
    <w:p w14:paraId="604F3E13">
      <w:pPr>
        <w:spacing w:before="62"/>
        <w:jc w:val="center"/>
        <w:outlineLvl w:val="2"/>
        <w:rPr>
          <w:rFonts w:hint="eastAsia" w:ascii="宋体" w:hAnsi="宋体" w:eastAsia="宋体" w:cs="宋体"/>
          <w:color w:val="auto"/>
          <w:sz w:val="28"/>
          <w:szCs w:val="28"/>
          <w:highlight w:val="none"/>
        </w:rPr>
      </w:pPr>
      <w:bookmarkStart w:id="271" w:name="_bookmark258"/>
      <w:bookmarkEnd w:id="271"/>
      <w:bookmarkStart w:id="272" w:name="_Toc9578"/>
      <w:r>
        <w:rPr>
          <w:rFonts w:hint="eastAsia" w:ascii="宋体" w:hAnsi="宋体" w:eastAsia="宋体" w:cs="宋体"/>
          <w:color w:val="auto"/>
          <w:sz w:val="28"/>
          <w:szCs w:val="28"/>
          <w:highlight w:val="none"/>
        </w:rPr>
        <w:t>项目专用合同条款数据表</w:t>
      </w:r>
      <w:bookmarkEnd w:id="272"/>
    </w:p>
    <w:p w14:paraId="5E90226D">
      <w:pPr>
        <w:adjustRightInd w:val="0"/>
        <w:spacing w:line="360" w:lineRule="auto"/>
        <w:ind w:firstLine="420" w:firstLineChars="200"/>
        <w:rPr>
          <w:rFonts w:hint="eastAsia" w:ascii="宋体" w:hAnsi="宋体" w:eastAsia="宋体" w:cs="宋体"/>
          <w:color w:val="auto"/>
          <w:sz w:val="21"/>
          <w:szCs w:val="21"/>
          <w:highlight w:val="none"/>
        </w:rPr>
      </w:pPr>
    </w:p>
    <w:p w14:paraId="2E840DF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说明：本数据表是项目专用合同条款中适用于本项目的信息和数据的归纳与提示，是项目专用合同条款的组成部分。第</w:t>
      </w:r>
      <w:r>
        <w:rPr>
          <w:rFonts w:hint="eastAsia" w:ascii="宋体" w:hAnsi="宋体" w:cs="宋体"/>
          <w:color w:val="auto"/>
          <w:sz w:val="21"/>
          <w:szCs w:val="21"/>
          <w:highlight w:val="none"/>
          <w:lang w:eastAsia="zh-CN"/>
        </w:rPr>
        <w:t>六</w:t>
      </w:r>
      <w:r>
        <w:rPr>
          <w:rFonts w:hint="eastAsia" w:ascii="宋体" w:hAnsi="宋体" w:eastAsia="宋体" w:cs="宋体"/>
          <w:color w:val="auto"/>
          <w:sz w:val="21"/>
          <w:szCs w:val="21"/>
          <w:highlight w:val="none"/>
        </w:rPr>
        <w:t>章“投标文件格式”的投标函附录中的数据（供投标人确认）与本表所列有重复。编写招标文件的单位应仔细校核， 不使数据出现差错或不一致。</w:t>
      </w:r>
    </w:p>
    <w:tbl>
      <w:tblPr>
        <w:tblStyle w:val="15"/>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949"/>
        <w:gridCol w:w="1096"/>
        <w:gridCol w:w="7223"/>
      </w:tblGrid>
      <w:tr w14:paraId="7E270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top"/>
          </w:tcPr>
          <w:p w14:paraId="3127DF75">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591" w:type="pct"/>
            <w:noWrap w:val="0"/>
            <w:vAlign w:val="top"/>
          </w:tcPr>
          <w:p w14:paraId="2A69090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条目号</w:t>
            </w:r>
          </w:p>
        </w:tc>
        <w:tc>
          <w:tcPr>
            <w:tcW w:w="3895" w:type="pct"/>
            <w:noWrap w:val="0"/>
            <w:vAlign w:val="top"/>
          </w:tcPr>
          <w:p w14:paraId="0E45FF7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信息或数据</w:t>
            </w:r>
          </w:p>
        </w:tc>
      </w:tr>
      <w:tr w14:paraId="340FB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0B909B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591" w:type="pct"/>
            <w:noWrap w:val="0"/>
            <w:vAlign w:val="center"/>
          </w:tcPr>
          <w:p w14:paraId="168DFCA0">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w:t>
            </w:r>
          </w:p>
        </w:tc>
        <w:tc>
          <w:tcPr>
            <w:tcW w:w="3895" w:type="pct"/>
            <w:noWrap w:val="0"/>
            <w:vAlign w:val="center"/>
          </w:tcPr>
          <w:p w14:paraId="6F1F8965">
            <w:pPr>
              <w:adjustRightIn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发 包 人：</w:t>
            </w:r>
            <w:r>
              <w:rPr>
                <w:rFonts w:hint="eastAsia"/>
                <w:color w:val="auto"/>
                <w:sz w:val="21"/>
                <w:szCs w:val="21"/>
                <w:highlight w:val="none"/>
                <w:lang w:val="en-US" w:eastAsia="zh-CN"/>
              </w:rPr>
              <w:t>响水县大有镇康庄村村民委员会</w:t>
            </w:r>
          </w:p>
          <w:p w14:paraId="179BD7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color w:val="auto"/>
                <w:sz w:val="21"/>
                <w:szCs w:val="21"/>
                <w:highlight w:val="none"/>
                <w:lang w:val="en-US" w:eastAsia="zh-CN"/>
              </w:rPr>
              <w:t>响水县大有镇</w:t>
            </w:r>
          </w:p>
          <w:p w14:paraId="431F550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邮政编码：224600</w:t>
            </w:r>
          </w:p>
        </w:tc>
      </w:tr>
      <w:tr w14:paraId="035B8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12B66E2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591" w:type="pct"/>
            <w:noWrap w:val="0"/>
            <w:vAlign w:val="center"/>
          </w:tcPr>
          <w:p w14:paraId="356C9E73">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1.1.2.6</w:t>
            </w:r>
          </w:p>
        </w:tc>
        <w:tc>
          <w:tcPr>
            <w:tcW w:w="3895" w:type="pct"/>
            <w:noWrap w:val="0"/>
            <w:vAlign w:val="center"/>
          </w:tcPr>
          <w:p w14:paraId="7655EEC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 理 人：</w:t>
            </w:r>
          </w:p>
          <w:p w14:paraId="6F44B5BE">
            <w:pPr>
              <w:adjustRightInd w:val="0"/>
              <w:spacing w:line="360" w:lineRule="auto"/>
              <w:ind w:firstLine="420" w:firstLineChars="200"/>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rPr>
              <w:tab/>
            </w:r>
            <w:r>
              <w:rPr>
                <w:rFonts w:hint="eastAsia" w:ascii="宋体" w:hAnsi="宋体" w:cs="宋体"/>
                <w:color w:val="auto"/>
                <w:sz w:val="21"/>
                <w:szCs w:val="21"/>
                <w:highlight w:val="none"/>
                <w:lang w:val="en-US" w:eastAsia="zh-CN"/>
              </w:rPr>
              <w:t xml:space="preserve">                  </w:t>
            </w:r>
          </w:p>
          <w:p w14:paraId="57ECFE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r>
      <w:tr w14:paraId="49D68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7F5FAC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591" w:type="pct"/>
            <w:noWrap w:val="0"/>
            <w:vAlign w:val="center"/>
          </w:tcPr>
          <w:p w14:paraId="7B94040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1.1.4.5</w:t>
            </w:r>
          </w:p>
        </w:tc>
        <w:tc>
          <w:tcPr>
            <w:tcW w:w="3895" w:type="pct"/>
            <w:noWrap w:val="0"/>
            <w:vAlign w:val="center"/>
          </w:tcPr>
          <w:p w14:paraId="606D454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缺陷责任期：自实际交工日期起计算2年。</w:t>
            </w:r>
          </w:p>
        </w:tc>
      </w:tr>
      <w:tr w14:paraId="12058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779A486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591" w:type="pct"/>
            <w:noWrap w:val="0"/>
            <w:vAlign w:val="center"/>
          </w:tcPr>
          <w:p w14:paraId="713CF4C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w:t>
            </w:r>
          </w:p>
        </w:tc>
        <w:tc>
          <w:tcPr>
            <w:tcW w:w="3895" w:type="pct"/>
            <w:noWrap w:val="0"/>
            <w:vAlign w:val="center"/>
          </w:tcPr>
          <w:p w14:paraId="72DA5A5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图纸需要修改和补充的，应由监理人取得发包人同意后，在该工程或工程相应部位施工前7天签发图纸修改图给承包人。</w:t>
            </w:r>
          </w:p>
        </w:tc>
      </w:tr>
      <w:tr w14:paraId="0592D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C2E98B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591" w:type="pct"/>
            <w:noWrap w:val="0"/>
            <w:vAlign w:val="center"/>
          </w:tcPr>
          <w:p w14:paraId="791CCF0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w:t>
            </w:r>
          </w:p>
        </w:tc>
        <w:tc>
          <w:tcPr>
            <w:tcW w:w="3895" w:type="pct"/>
            <w:noWrap w:val="0"/>
            <w:vAlign w:val="center"/>
          </w:tcPr>
          <w:p w14:paraId="2BD2C5D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监理人在行使下列权力前需要经发包人事先批准：</w:t>
            </w:r>
          </w:p>
          <w:p w14:paraId="5C09D36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根据第15.3 款发出的变更指示，其单项工程变更涉及的金额超过了该单项工程签约时合同价的</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%或累计变更超过了签约合同价的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tc>
      </w:tr>
      <w:tr w14:paraId="56082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00BDF2B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591" w:type="pct"/>
            <w:noWrap w:val="0"/>
            <w:vAlign w:val="center"/>
          </w:tcPr>
          <w:p w14:paraId="392994A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w:t>
            </w:r>
          </w:p>
        </w:tc>
        <w:tc>
          <w:tcPr>
            <w:tcW w:w="3895" w:type="pct"/>
            <w:noWrap w:val="0"/>
            <w:vAlign w:val="center"/>
          </w:tcPr>
          <w:p w14:paraId="34371D7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发包人是否提供材料或工程设备：</w:t>
            </w:r>
            <w:r>
              <w:rPr>
                <w:rFonts w:hint="eastAsia" w:ascii="宋体" w:hAnsi="宋体" w:eastAsia="宋体" w:cs="宋体"/>
                <w:color w:val="auto"/>
                <w:sz w:val="21"/>
                <w:szCs w:val="21"/>
                <w:highlight w:val="none"/>
                <w:u w:val="single"/>
              </w:rPr>
              <w:t>否</w:t>
            </w:r>
            <w:r>
              <w:rPr>
                <w:rFonts w:hint="eastAsia" w:ascii="宋体" w:hAnsi="宋体" w:eastAsia="宋体" w:cs="宋体"/>
                <w:color w:val="auto"/>
                <w:sz w:val="21"/>
                <w:szCs w:val="21"/>
                <w:highlight w:val="none"/>
              </w:rPr>
              <w:t>。</w:t>
            </w:r>
          </w:p>
          <w:p w14:paraId="16ECACE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如发包人负责提供部分材料或工程设备，相关规定如下：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tc>
      </w:tr>
      <w:tr w14:paraId="75506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0161CA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591" w:type="pct"/>
            <w:noWrap w:val="0"/>
            <w:vAlign w:val="center"/>
          </w:tcPr>
          <w:p w14:paraId="40F0E77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w:t>
            </w:r>
          </w:p>
        </w:tc>
        <w:tc>
          <w:tcPr>
            <w:tcW w:w="3895" w:type="pct"/>
            <w:noWrap w:val="0"/>
            <w:vAlign w:val="center"/>
          </w:tcPr>
          <w:p w14:paraId="3530740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发包人是否提供施工设备和临时设施：</w:t>
            </w:r>
            <w:r>
              <w:rPr>
                <w:rFonts w:hint="eastAsia" w:ascii="宋体" w:hAnsi="宋体" w:eastAsia="宋体" w:cs="宋体"/>
                <w:color w:val="auto"/>
                <w:sz w:val="21"/>
                <w:szCs w:val="21"/>
                <w:highlight w:val="none"/>
                <w:u w:val="single"/>
              </w:rPr>
              <w:t xml:space="preserve"> 否</w:t>
            </w:r>
            <w:r>
              <w:rPr>
                <w:rFonts w:hint="eastAsia" w:ascii="宋体" w:hAnsi="宋体" w:eastAsia="宋体" w:cs="宋体"/>
                <w:color w:val="auto"/>
                <w:sz w:val="21"/>
                <w:szCs w:val="21"/>
                <w:highlight w:val="none"/>
              </w:rPr>
              <w:t>。</w:t>
            </w:r>
          </w:p>
          <w:p w14:paraId="253035D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如发包人负责提供部分施工设备和临时设施，相关规定如下：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tc>
      </w:tr>
      <w:tr w14:paraId="17CA0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48B16B4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591" w:type="pct"/>
            <w:noWrap w:val="0"/>
            <w:vAlign w:val="center"/>
          </w:tcPr>
          <w:p w14:paraId="5CF4F70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8.1.1</w:t>
            </w:r>
          </w:p>
        </w:tc>
        <w:tc>
          <w:tcPr>
            <w:tcW w:w="3895" w:type="pct"/>
            <w:noWrap w:val="0"/>
            <w:vAlign w:val="center"/>
          </w:tcPr>
          <w:p w14:paraId="39E0DD2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发包人提供测量基准点、基准线和水准点及其书面资料的期限：开工前7天。</w:t>
            </w:r>
          </w:p>
          <w:p w14:paraId="18253A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承包人将施工控制网资料报送监理人审批的期限：开工前7天。</w:t>
            </w:r>
          </w:p>
        </w:tc>
      </w:tr>
      <w:tr w14:paraId="62FF4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64F3C31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591" w:type="pct"/>
            <w:noWrap w:val="0"/>
            <w:vAlign w:val="center"/>
          </w:tcPr>
          <w:p w14:paraId="4583AD8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w:t>
            </w:r>
          </w:p>
        </w:tc>
        <w:tc>
          <w:tcPr>
            <w:tcW w:w="3895" w:type="pct"/>
            <w:noWrap w:val="0"/>
            <w:vAlign w:val="center"/>
          </w:tcPr>
          <w:p w14:paraId="1A8E10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逾期交工违约金：</w:t>
            </w:r>
            <w:r>
              <w:rPr>
                <w:rFonts w:hint="eastAsia" w:ascii="宋体" w:hAnsi="宋体" w:eastAsia="宋体" w:cs="宋体"/>
                <w:color w:val="auto"/>
                <w:sz w:val="21"/>
                <w:szCs w:val="21"/>
                <w:highlight w:val="none"/>
                <w:u w:val="single"/>
                <w:lang w:val="en-US" w:eastAsia="zh-CN"/>
              </w:rPr>
              <w:t xml:space="preserve"> 5000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元/天</w:t>
            </w:r>
          </w:p>
        </w:tc>
      </w:tr>
      <w:tr w14:paraId="3F4B9D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5D130DD0">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591" w:type="pct"/>
            <w:noWrap w:val="0"/>
            <w:vAlign w:val="center"/>
          </w:tcPr>
          <w:p w14:paraId="3B860CB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w:t>
            </w:r>
          </w:p>
        </w:tc>
        <w:tc>
          <w:tcPr>
            <w:tcW w:w="3895" w:type="pct"/>
            <w:noWrap w:val="0"/>
            <w:vAlign w:val="center"/>
          </w:tcPr>
          <w:p w14:paraId="368CD89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逾期交工违约金限额：5%签约合同价</w:t>
            </w:r>
          </w:p>
        </w:tc>
      </w:tr>
      <w:tr w14:paraId="2EE8F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76E3DFB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591" w:type="pct"/>
            <w:noWrap w:val="0"/>
            <w:vAlign w:val="center"/>
          </w:tcPr>
          <w:p w14:paraId="796EF00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3895" w:type="pct"/>
            <w:noWrap w:val="0"/>
            <w:vAlign w:val="center"/>
          </w:tcPr>
          <w:p w14:paraId="56FCD74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提前交工的奖金：</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元/天</w:t>
            </w:r>
          </w:p>
        </w:tc>
      </w:tr>
      <w:tr w14:paraId="08606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46AFEAD1">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591" w:type="pct"/>
            <w:noWrap w:val="0"/>
            <w:vAlign w:val="center"/>
          </w:tcPr>
          <w:p w14:paraId="596E6F4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w:t>
            </w:r>
          </w:p>
        </w:tc>
        <w:tc>
          <w:tcPr>
            <w:tcW w:w="3895" w:type="pct"/>
            <w:noWrap w:val="0"/>
            <w:vAlign w:val="center"/>
          </w:tcPr>
          <w:p w14:paraId="53C982E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提前交工的奖金限额：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%签约合同价</w:t>
            </w:r>
          </w:p>
        </w:tc>
      </w:tr>
      <w:tr w14:paraId="19CB0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67FC039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591" w:type="pct"/>
            <w:noWrap w:val="0"/>
            <w:vAlign w:val="center"/>
          </w:tcPr>
          <w:p w14:paraId="294551E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15.5.2</w:t>
            </w:r>
          </w:p>
        </w:tc>
        <w:tc>
          <w:tcPr>
            <w:tcW w:w="3895" w:type="pct"/>
            <w:noWrap w:val="0"/>
            <w:vAlign w:val="center"/>
          </w:tcPr>
          <w:p w14:paraId="44AA00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承包人提出的合理化建议降低了合同价格或者提高了工程经济效益的，发包人按所节约成本的 /%或增加收益的 /%给予奖励</w:t>
            </w:r>
          </w:p>
        </w:tc>
      </w:tr>
      <w:tr w14:paraId="334DFD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77F151E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591" w:type="pct"/>
            <w:noWrap w:val="0"/>
            <w:vAlign w:val="center"/>
          </w:tcPr>
          <w:p w14:paraId="7C13387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w:t>
            </w:r>
          </w:p>
        </w:tc>
        <w:tc>
          <w:tcPr>
            <w:tcW w:w="3895" w:type="pct"/>
            <w:noWrap w:val="0"/>
            <w:vAlign w:val="center"/>
          </w:tcPr>
          <w:p w14:paraId="524AD07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合同期内不调价</w:t>
            </w:r>
          </w:p>
        </w:tc>
      </w:tr>
      <w:tr w14:paraId="52031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5F7F06E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c>
          <w:tcPr>
            <w:tcW w:w="591" w:type="pct"/>
            <w:noWrap w:val="0"/>
            <w:vAlign w:val="center"/>
          </w:tcPr>
          <w:p w14:paraId="7218089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17.2.1（1）</w:t>
            </w:r>
          </w:p>
        </w:tc>
        <w:tc>
          <w:tcPr>
            <w:tcW w:w="3895" w:type="pct"/>
            <w:noWrap w:val="0"/>
            <w:vAlign w:val="center"/>
          </w:tcPr>
          <w:p w14:paraId="5E7FF3A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开工预付款金额：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%签约合同价</w:t>
            </w:r>
          </w:p>
        </w:tc>
      </w:tr>
      <w:tr w14:paraId="39DC1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65EF0B6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p>
        </w:tc>
        <w:tc>
          <w:tcPr>
            <w:tcW w:w="591" w:type="pct"/>
            <w:noWrap w:val="0"/>
            <w:vAlign w:val="center"/>
          </w:tcPr>
          <w:p w14:paraId="1B5A948F">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17.2.1（2）</w:t>
            </w:r>
          </w:p>
        </w:tc>
        <w:tc>
          <w:tcPr>
            <w:tcW w:w="3895" w:type="pct"/>
            <w:noWrap w:val="0"/>
            <w:vAlign w:val="center"/>
          </w:tcPr>
          <w:p w14:paraId="0FF3AEC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材料、设备预付款比例： /等主要材料、设备单据所列费用的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 </w:t>
            </w:r>
          </w:p>
        </w:tc>
      </w:tr>
      <w:tr w14:paraId="45CB8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2603E45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w:t>
            </w:r>
          </w:p>
        </w:tc>
        <w:tc>
          <w:tcPr>
            <w:tcW w:w="591" w:type="pct"/>
            <w:noWrap w:val="0"/>
            <w:vAlign w:val="center"/>
          </w:tcPr>
          <w:p w14:paraId="49292D1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17.3.2</w:t>
            </w:r>
          </w:p>
        </w:tc>
        <w:tc>
          <w:tcPr>
            <w:tcW w:w="3895" w:type="pct"/>
            <w:noWrap w:val="0"/>
            <w:vAlign w:val="center"/>
          </w:tcPr>
          <w:p w14:paraId="4364E4B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承包人在每个付款周期末向监理人提交进度付款申请单的份数： </w:t>
            </w:r>
            <w:r>
              <w:rPr>
                <w:rFonts w:hint="eastAsia" w:ascii="宋体" w:hAnsi="宋体" w:eastAsia="宋体" w:cs="宋体"/>
                <w:color w:val="auto"/>
                <w:sz w:val="21"/>
                <w:szCs w:val="21"/>
                <w:highlight w:val="none"/>
                <w:u w:val="single"/>
              </w:rPr>
              <w:t xml:space="preserve"> 4</w:t>
            </w:r>
            <w:r>
              <w:rPr>
                <w:rFonts w:hint="eastAsia" w:ascii="宋体" w:hAnsi="宋体" w:eastAsia="宋体" w:cs="宋体"/>
                <w:color w:val="auto"/>
                <w:sz w:val="21"/>
                <w:szCs w:val="21"/>
                <w:highlight w:val="none"/>
              </w:rPr>
              <w:t xml:space="preserve">  份</w:t>
            </w:r>
          </w:p>
        </w:tc>
      </w:tr>
      <w:tr w14:paraId="3A1D05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A23024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p>
        </w:tc>
        <w:tc>
          <w:tcPr>
            <w:tcW w:w="591" w:type="pct"/>
            <w:noWrap w:val="0"/>
            <w:vAlign w:val="center"/>
          </w:tcPr>
          <w:p w14:paraId="13F13D23">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17.3.3（1）</w:t>
            </w:r>
          </w:p>
        </w:tc>
        <w:tc>
          <w:tcPr>
            <w:tcW w:w="3895" w:type="pct"/>
            <w:noWrap w:val="0"/>
            <w:vAlign w:val="center"/>
          </w:tcPr>
          <w:p w14:paraId="58B2A16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进度付款证书最低限额：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%签约合同价或</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万元</w:t>
            </w:r>
          </w:p>
        </w:tc>
      </w:tr>
      <w:tr w14:paraId="7B042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53F5D06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w:t>
            </w:r>
          </w:p>
        </w:tc>
        <w:tc>
          <w:tcPr>
            <w:tcW w:w="591" w:type="pct"/>
            <w:noWrap w:val="0"/>
            <w:vAlign w:val="center"/>
          </w:tcPr>
          <w:p w14:paraId="751B961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17.3.3（2）</w:t>
            </w:r>
          </w:p>
        </w:tc>
        <w:tc>
          <w:tcPr>
            <w:tcW w:w="3895" w:type="pct"/>
            <w:noWrap w:val="0"/>
            <w:vAlign w:val="center"/>
          </w:tcPr>
          <w:p w14:paraId="63A5FCC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逾期付款违约金的利率：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w:t>
            </w:r>
          </w:p>
        </w:tc>
      </w:tr>
      <w:tr w14:paraId="20086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F813FF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c>
          <w:tcPr>
            <w:tcW w:w="591" w:type="pct"/>
            <w:noWrap w:val="0"/>
            <w:vAlign w:val="center"/>
          </w:tcPr>
          <w:p w14:paraId="3B70E7B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17.4.1</w:t>
            </w:r>
          </w:p>
        </w:tc>
        <w:tc>
          <w:tcPr>
            <w:tcW w:w="3895" w:type="pct"/>
            <w:noWrap w:val="0"/>
            <w:vAlign w:val="center"/>
          </w:tcPr>
          <w:p w14:paraId="60616FA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质量保证金金额：</w:t>
            </w:r>
            <w:r>
              <w:rPr>
                <w:rFonts w:hint="eastAsia" w:ascii="宋体" w:hAnsi="宋体" w:eastAsia="宋体" w:cs="宋体"/>
                <w:color w:val="auto"/>
                <w:sz w:val="21"/>
                <w:szCs w:val="21"/>
                <w:highlight w:val="none"/>
                <w:u w:val="single"/>
              </w:rPr>
              <w:t xml:space="preserve"> 3</w:t>
            </w:r>
            <w:r>
              <w:rPr>
                <w:rFonts w:hint="eastAsia" w:ascii="宋体" w:hAnsi="宋体" w:eastAsia="宋体" w:cs="宋体"/>
                <w:color w:val="auto"/>
                <w:sz w:val="21"/>
                <w:szCs w:val="21"/>
                <w:highlight w:val="none"/>
              </w:rPr>
              <w:t xml:space="preserve"> %合同价格，若交工验收时承包人具备被招标项目所在地省级交通运输主管部门评定的最高信用等级，发包人给予 /%合同价格质量保证金的优惠。</w:t>
            </w:r>
          </w:p>
          <w:p w14:paraId="20B8B9D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质量保证金是否计付利息：</w:t>
            </w:r>
            <w:r>
              <w:rPr>
                <w:rFonts w:hint="eastAsia" w:ascii="宋体" w:hAnsi="宋体" w:eastAsia="宋体" w:cs="宋体"/>
                <w:color w:val="auto"/>
                <w:sz w:val="21"/>
                <w:szCs w:val="21"/>
                <w:highlight w:val="none"/>
                <w:u w:val="single"/>
              </w:rPr>
              <w:t>否</w:t>
            </w:r>
          </w:p>
        </w:tc>
      </w:tr>
      <w:tr w14:paraId="1D5F8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24D773B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p>
        </w:tc>
        <w:tc>
          <w:tcPr>
            <w:tcW w:w="591" w:type="pct"/>
            <w:noWrap w:val="0"/>
            <w:vAlign w:val="center"/>
          </w:tcPr>
          <w:p w14:paraId="0747193A">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17.5.1（1）</w:t>
            </w:r>
          </w:p>
        </w:tc>
        <w:tc>
          <w:tcPr>
            <w:tcW w:w="3895" w:type="pct"/>
            <w:noWrap w:val="0"/>
            <w:vAlign w:val="center"/>
          </w:tcPr>
          <w:p w14:paraId="4934961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承包人向监理人提交交工付款申请单（包括相关证明材料）的份数：4份</w:t>
            </w:r>
          </w:p>
        </w:tc>
      </w:tr>
      <w:tr w14:paraId="6C004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2F2B782">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p>
        </w:tc>
        <w:tc>
          <w:tcPr>
            <w:tcW w:w="591" w:type="pct"/>
            <w:noWrap w:val="0"/>
            <w:vAlign w:val="center"/>
          </w:tcPr>
          <w:p w14:paraId="7C207389">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17.6.1（1）</w:t>
            </w:r>
          </w:p>
        </w:tc>
        <w:tc>
          <w:tcPr>
            <w:tcW w:w="3895" w:type="pct"/>
            <w:noWrap w:val="0"/>
            <w:vAlign w:val="center"/>
          </w:tcPr>
          <w:p w14:paraId="2FA785A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承包人向监理人提交最终结清申请单（包括相关证明材料）的份数：4份</w:t>
            </w:r>
          </w:p>
        </w:tc>
      </w:tr>
      <w:tr w14:paraId="1C69F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8D2BB5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w:t>
            </w:r>
          </w:p>
        </w:tc>
        <w:tc>
          <w:tcPr>
            <w:tcW w:w="591" w:type="pct"/>
            <w:noWrap w:val="0"/>
            <w:vAlign w:val="center"/>
          </w:tcPr>
          <w:p w14:paraId="1633E6F5">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18.2（2）</w:t>
            </w:r>
          </w:p>
        </w:tc>
        <w:tc>
          <w:tcPr>
            <w:tcW w:w="3895" w:type="pct"/>
            <w:noWrap w:val="0"/>
            <w:vAlign w:val="center"/>
          </w:tcPr>
          <w:p w14:paraId="5C18B4F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竣工资料的份数：4份</w:t>
            </w:r>
          </w:p>
        </w:tc>
      </w:tr>
      <w:tr w14:paraId="06AC7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0A5E1F8">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w:t>
            </w:r>
          </w:p>
        </w:tc>
        <w:tc>
          <w:tcPr>
            <w:tcW w:w="591" w:type="pct"/>
            <w:noWrap w:val="0"/>
            <w:vAlign w:val="center"/>
          </w:tcPr>
          <w:p w14:paraId="54FA911E">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18.5.1</w:t>
            </w:r>
          </w:p>
        </w:tc>
        <w:tc>
          <w:tcPr>
            <w:tcW w:w="3895" w:type="pct"/>
            <w:noWrap w:val="0"/>
            <w:vAlign w:val="center"/>
          </w:tcPr>
          <w:p w14:paraId="74C01B4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单位工程或工程设备是否需投入施工期运行： 否 </w:t>
            </w:r>
          </w:p>
          <w:p w14:paraId="2BF56F2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如单位工程或工程设备需要进行施工期运行，需要施工期运行的单位工程或工程设备规定如下： / 。</w:t>
            </w:r>
          </w:p>
        </w:tc>
      </w:tr>
      <w:tr w14:paraId="31718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148FAB25">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25</w:t>
            </w:r>
          </w:p>
        </w:tc>
        <w:tc>
          <w:tcPr>
            <w:tcW w:w="591" w:type="pct"/>
            <w:noWrap w:val="0"/>
            <w:vAlign w:val="center"/>
          </w:tcPr>
          <w:p w14:paraId="03773B7B">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w:t>
            </w:r>
          </w:p>
        </w:tc>
        <w:tc>
          <w:tcPr>
            <w:tcW w:w="3895" w:type="pct"/>
            <w:noWrap w:val="0"/>
            <w:vAlign w:val="center"/>
          </w:tcPr>
          <w:p w14:paraId="4F295A1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本工程及工程设备是否进行试运行： 否。</w:t>
            </w:r>
          </w:p>
          <w:p w14:paraId="0F5F04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如本工程及工程设备需要进行试运行，试运行的具体规定如下： /。</w:t>
            </w:r>
          </w:p>
        </w:tc>
      </w:tr>
      <w:tr w14:paraId="28814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64E7E84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26</w:t>
            </w:r>
          </w:p>
        </w:tc>
        <w:tc>
          <w:tcPr>
            <w:tcW w:w="591" w:type="pct"/>
            <w:noWrap w:val="0"/>
            <w:vAlign w:val="center"/>
          </w:tcPr>
          <w:p w14:paraId="55E42FD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19.7（1）</w:t>
            </w:r>
          </w:p>
        </w:tc>
        <w:tc>
          <w:tcPr>
            <w:tcW w:w="3895" w:type="pct"/>
            <w:noWrap w:val="0"/>
            <w:vAlign w:val="center"/>
          </w:tcPr>
          <w:p w14:paraId="5DB08E8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保修期：自实际交工日期起计算</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年</w:t>
            </w:r>
          </w:p>
        </w:tc>
      </w:tr>
      <w:tr w14:paraId="5DB46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6DB97B44">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27</w:t>
            </w:r>
          </w:p>
        </w:tc>
        <w:tc>
          <w:tcPr>
            <w:tcW w:w="591" w:type="pct"/>
            <w:noWrap w:val="0"/>
            <w:vAlign w:val="center"/>
          </w:tcPr>
          <w:p w14:paraId="6F4E1013">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20.1</w:t>
            </w:r>
          </w:p>
        </w:tc>
        <w:tc>
          <w:tcPr>
            <w:tcW w:w="3895" w:type="pct"/>
            <w:noWrap w:val="0"/>
            <w:vAlign w:val="center"/>
          </w:tcPr>
          <w:p w14:paraId="72C945E1">
            <w:pPr>
              <w:adjustRightIn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建筑工程一切险的保险费率：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p>
        </w:tc>
      </w:tr>
      <w:tr w14:paraId="7BD3E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512" w:type="pct"/>
            <w:noWrap w:val="0"/>
            <w:vAlign w:val="center"/>
          </w:tcPr>
          <w:p w14:paraId="3541B46D">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w:t>
            </w:r>
          </w:p>
        </w:tc>
        <w:tc>
          <w:tcPr>
            <w:tcW w:w="591" w:type="pct"/>
            <w:noWrap w:val="0"/>
            <w:vAlign w:val="center"/>
          </w:tcPr>
          <w:p w14:paraId="050F4366">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20.4.2</w:t>
            </w:r>
          </w:p>
        </w:tc>
        <w:tc>
          <w:tcPr>
            <w:tcW w:w="3895" w:type="pct"/>
            <w:noWrap w:val="0"/>
            <w:vAlign w:val="center"/>
          </w:tcPr>
          <w:p w14:paraId="6A0A0DDE">
            <w:pPr>
              <w:adjustRightIn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第三者责任险的最低投保金额：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，事故次数不限（不计免赔额） 保险费率：</w:t>
            </w:r>
            <w:r>
              <w:rPr>
                <w:rFonts w:hint="eastAsia" w:ascii="宋体" w:hAnsi="宋体" w:eastAsia="宋体" w:cs="宋体"/>
                <w:color w:val="auto"/>
                <w:sz w:val="21"/>
                <w:szCs w:val="21"/>
                <w:highlight w:val="none"/>
                <w:u w:val="single"/>
                <w:lang w:val="en-US" w:eastAsia="zh-CN"/>
              </w:rPr>
              <w:t xml:space="preserve">  </w:t>
            </w:r>
          </w:p>
        </w:tc>
      </w:tr>
      <w:tr w14:paraId="24681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00" w:hRule="atLeast"/>
          <w:jc w:val="center"/>
        </w:trPr>
        <w:tc>
          <w:tcPr>
            <w:tcW w:w="512" w:type="pct"/>
            <w:noWrap w:val="0"/>
            <w:vAlign w:val="center"/>
          </w:tcPr>
          <w:p w14:paraId="22544017">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w:t>
            </w:r>
          </w:p>
        </w:tc>
        <w:tc>
          <w:tcPr>
            <w:tcW w:w="591" w:type="pct"/>
            <w:noWrap w:val="0"/>
            <w:vAlign w:val="center"/>
          </w:tcPr>
          <w:p w14:paraId="4F3225BC">
            <w:pPr>
              <w:adjustRightIn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w:t>
            </w:r>
          </w:p>
        </w:tc>
        <w:tc>
          <w:tcPr>
            <w:tcW w:w="3895" w:type="pct"/>
            <w:noWrap w:val="0"/>
            <w:vAlign w:val="center"/>
          </w:tcPr>
          <w:p w14:paraId="1BA4F3D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争议的最终解决方式：诉讼</w:t>
            </w:r>
          </w:p>
        </w:tc>
      </w:tr>
    </w:tbl>
    <w:p w14:paraId="0EFEBE4F">
      <w:pPr>
        <w:adjustRightInd w:val="0"/>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bookmarkStart w:id="273" w:name="_bookmark259"/>
      <w:bookmarkEnd w:id="273"/>
      <w:bookmarkStart w:id="274" w:name="_Toc17486"/>
      <w:r>
        <w:rPr>
          <w:rFonts w:hint="eastAsia" w:ascii="宋体" w:hAnsi="宋体" w:eastAsia="宋体" w:cs="宋体"/>
          <w:color w:val="auto"/>
          <w:sz w:val="21"/>
          <w:szCs w:val="21"/>
          <w:highlight w:val="none"/>
        </w:rPr>
        <w:t>项目专用合同条款</w:t>
      </w:r>
      <w:bookmarkEnd w:id="274"/>
    </w:p>
    <w:p w14:paraId="7E98467E">
      <w:pPr>
        <w:adjustRightInd w:val="0"/>
        <w:spacing w:line="360" w:lineRule="auto"/>
        <w:ind w:firstLine="420" w:firstLineChars="200"/>
        <w:rPr>
          <w:rFonts w:hint="eastAsia" w:ascii="宋体" w:hAnsi="宋体" w:eastAsia="宋体" w:cs="宋体"/>
          <w:color w:val="auto"/>
          <w:sz w:val="21"/>
          <w:szCs w:val="21"/>
          <w:highlight w:val="none"/>
        </w:rPr>
      </w:pPr>
      <w:bookmarkStart w:id="275" w:name="_bookmark260"/>
      <w:bookmarkEnd w:id="275"/>
      <w:r>
        <w:rPr>
          <w:rFonts w:hint="eastAsia" w:ascii="宋体" w:hAnsi="宋体" w:eastAsia="宋体" w:cs="宋体"/>
          <w:color w:val="auto"/>
          <w:sz w:val="21"/>
          <w:szCs w:val="21"/>
          <w:highlight w:val="none"/>
        </w:rPr>
        <w:t>4.1 承包人的一般义务</w:t>
      </w:r>
    </w:p>
    <w:p w14:paraId="5061DAB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4.1.10 其他义务</w:t>
      </w:r>
    </w:p>
    <w:p w14:paraId="1B2318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承包人应履行的其他义务：</w:t>
      </w:r>
      <w:r>
        <w:rPr>
          <w:rFonts w:hint="eastAsia" w:ascii="宋体" w:hAnsi="宋体" w:eastAsia="宋体" w:cs="宋体"/>
          <w:color w:val="auto"/>
          <w:sz w:val="21"/>
          <w:szCs w:val="21"/>
          <w:highlight w:val="none"/>
          <w:u w:val="single"/>
        </w:rPr>
        <w:t>（1）、承包人应严格遵守国家有关解决拖欠民工工资的法律、法规，应及时支付工程中的民工工资。承包人不得以任何借口拖欠民工工资，如果出现此种现象，业主将在其履约保证金中直接支付，并没收其全部履约保证金，同时将作为不良记录纳入公路建设市场信用信息管理系统。（2）、承包人应无条件配合业主及上级有关部门的视察、检查等各项活动。（3）、承包人应严格执行业主及上级有关部门的各项工程管理性文件及规定</w:t>
      </w:r>
      <w:r>
        <w:rPr>
          <w:rFonts w:hint="eastAsia" w:ascii="宋体" w:hAnsi="宋体" w:eastAsia="宋体" w:cs="宋体"/>
          <w:color w:val="auto"/>
          <w:sz w:val="21"/>
          <w:szCs w:val="21"/>
          <w:highlight w:val="none"/>
        </w:rPr>
        <w:t>。</w:t>
      </w:r>
    </w:p>
    <w:p w14:paraId="14C67411">
      <w:pPr>
        <w:adjustRightInd w:val="0"/>
        <w:spacing w:line="360" w:lineRule="auto"/>
        <w:ind w:firstLine="420" w:firstLineChars="200"/>
        <w:rPr>
          <w:rFonts w:hint="eastAsia" w:ascii="宋体" w:hAnsi="宋体" w:eastAsia="宋体" w:cs="宋体"/>
          <w:color w:val="auto"/>
          <w:sz w:val="21"/>
          <w:szCs w:val="21"/>
          <w:highlight w:val="none"/>
        </w:rPr>
      </w:pPr>
      <w:bookmarkStart w:id="276" w:name="_bookmark261"/>
      <w:bookmarkEnd w:id="276"/>
      <w:r>
        <w:rPr>
          <w:rFonts w:hint="eastAsia" w:ascii="宋体" w:hAnsi="宋体" w:eastAsia="宋体" w:cs="宋体"/>
          <w:color w:val="auto"/>
          <w:sz w:val="21"/>
          <w:szCs w:val="21"/>
          <w:highlight w:val="none"/>
        </w:rPr>
        <w:t>4.11 不利物质条件</w:t>
      </w:r>
    </w:p>
    <w:p w14:paraId="25D6120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4.11.1 不利物质条件的范围：</w:t>
      </w:r>
      <w:r>
        <w:rPr>
          <w:rFonts w:hint="eastAsia" w:ascii="宋体" w:hAnsi="宋体" w:eastAsia="宋体" w:cs="宋体"/>
          <w:color w:val="auto"/>
          <w:sz w:val="21"/>
          <w:szCs w:val="21"/>
          <w:highlight w:val="none"/>
          <w:u w:val="single"/>
        </w:rPr>
        <w:t>由承包人自行承担</w:t>
      </w:r>
      <w:r>
        <w:rPr>
          <w:rFonts w:hint="eastAsia" w:ascii="宋体" w:hAnsi="宋体" w:eastAsia="宋体" w:cs="宋体"/>
          <w:color w:val="auto"/>
          <w:sz w:val="21"/>
          <w:szCs w:val="21"/>
          <w:highlight w:val="none"/>
        </w:rPr>
        <w:t>。</w:t>
      </w:r>
    </w:p>
    <w:p w14:paraId="18615561">
      <w:pPr>
        <w:adjustRightInd w:val="0"/>
        <w:spacing w:line="360" w:lineRule="auto"/>
        <w:ind w:firstLine="420" w:firstLineChars="200"/>
        <w:rPr>
          <w:rFonts w:hint="eastAsia" w:ascii="宋体" w:hAnsi="宋体" w:eastAsia="宋体" w:cs="宋体"/>
          <w:color w:val="auto"/>
          <w:sz w:val="21"/>
          <w:szCs w:val="21"/>
          <w:highlight w:val="none"/>
        </w:rPr>
      </w:pPr>
      <w:bookmarkStart w:id="277" w:name="_bookmark262"/>
      <w:bookmarkEnd w:id="277"/>
      <w:r>
        <w:rPr>
          <w:rFonts w:hint="eastAsia" w:ascii="宋体" w:hAnsi="宋体" w:eastAsia="宋体" w:cs="宋体"/>
          <w:color w:val="auto"/>
          <w:sz w:val="21"/>
          <w:szCs w:val="21"/>
          <w:highlight w:val="none"/>
        </w:rPr>
        <w:t>10.1 合同进度计划</w:t>
      </w:r>
    </w:p>
    <w:p w14:paraId="670CA07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承包人编制施工方案的内容：</w:t>
      </w:r>
      <w:r>
        <w:rPr>
          <w:rFonts w:hint="eastAsia" w:ascii="宋体" w:hAnsi="宋体" w:eastAsia="宋体" w:cs="宋体"/>
          <w:color w:val="auto"/>
          <w:sz w:val="21"/>
          <w:szCs w:val="21"/>
          <w:highlight w:val="none"/>
          <w:u w:val="single"/>
        </w:rPr>
        <w:t>根据招标人（监理）要求编制施工进度计划和施工方案</w:t>
      </w:r>
      <w:bookmarkStart w:id="278" w:name="_bookmark263"/>
      <w:bookmarkEnd w:id="278"/>
      <w:r>
        <w:rPr>
          <w:rFonts w:hint="eastAsia" w:ascii="宋体" w:hAnsi="宋体" w:eastAsia="宋体" w:cs="宋体"/>
          <w:color w:val="auto"/>
          <w:sz w:val="21"/>
          <w:szCs w:val="21"/>
          <w:highlight w:val="none"/>
        </w:rPr>
        <w:t>。</w:t>
      </w:r>
    </w:p>
    <w:p w14:paraId="3CAC6B8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异常恶劣的气候条件</w:t>
      </w:r>
    </w:p>
    <w:p w14:paraId="54D62ED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异常恶劣的气候条件的范围：</w:t>
      </w:r>
      <w:r>
        <w:rPr>
          <w:rFonts w:hint="eastAsia" w:ascii="宋体" w:hAnsi="宋体" w:eastAsia="宋体" w:cs="宋体"/>
          <w:color w:val="auto"/>
          <w:sz w:val="21"/>
          <w:szCs w:val="21"/>
          <w:highlight w:val="none"/>
          <w:u w:val="single"/>
        </w:rPr>
        <w:t>指项目所在地发生六级(含六级)以上地震、龙卷风、工地受淹及不利的降水等引起延误的情况</w:t>
      </w:r>
      <w:r>
        <w:rPr>
          <w:rFonts w:hint="eastAsia" w:ascii="宋体" w:hAnsi="宋体" w:eastAsia="宋体" w:cs="宋体"/>
          <w:color w:val="auto"/>
          <w:sz w:val="21"/>
          <w:szCs w:val="21"/>
          <w:highlight w:val="none"/>
        </w:rPr>
        <w:t>。</w:t>
      </w:r>
    </w:p>
    <w:p w14:paraId="241B80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不利降水的衡量标准为：</w:t>
      </w:r>
    </w:p>
    <w:p w14:paraId="6CF44F5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按本地区气象部门统计的降水资料，取最近二十年的平均降水天数为标准</w:t>
      </w:r>
      <w:r>
        <w:rPr>
          <w:rFonts w:hint="eastAsia" w:ascii="宋体" w:hAnsi="宋体" w:eastAsia="宋体" w:cs="宋体"/>
          <w:color w:val="auto"/>
          <w:sz w:val="21"/>
          <w:szCs w:val="21"/>
          <w:highlight w:val="none"/>
        </w:rPr>
        <w:t>；</w:t>
      </w:r>
    </w:p>
    <w:p w14:paraId="06DF721F">
      <w:pPr>
        <w:adjustRightIn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按实际统计的年降水天数与 i 所指的年降水天数之差，每年计算一次。异常恶劣气候的时间，</w:t>
      </w:r>
    </w:p>
    <w:p w14:paraId="0A512E0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监理工程师将根据承包人的投标和提交的证明予以评定，但在评定时还将考虑按同等标准，用施工期限内其它月份异常良好的气候时间予以抵补。异常气候在每个月对工程进度影响的评定，应在整个合同期内以累计</w:t>
      </w:r>
      <w:r>
        <w:rPr>
          <w:rFonts w:hint="eastAsia" w:ascii="宋体" w:hAnsi="宋体" w:eastAsia="宋体" w:cs="宋体"/>
          <w:color w:val="auto"/>
          <w:sz w:val="21"/>
          <w:szCs w:val="21"/>
          <w:highlight w:val="none"/>
        </w:rPr>
        <w:t>；</w:t>
      </w:r>
    </w:p>
    <w:p w14:paraId="34AFBAF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不考虑每一降水过程后所影响的施工时间</w:t>
      </w:r>
      <w:r>
        <w:rPr>
          <w:rFonts w:hint="eastAsia" w:ascii="宋体" w:hAnsi="宋体" w:eastAsia="宋体" w:cs="宋体"/>
          <w:color w:val="auto"/>
          <w:sz w:val="21"/>
          <w:szCs w:val="21"/>
          <w:highlight w:val="none"/>
        </w:rPr>
        <w:t>。</w:t>
      </w:r>
    </w:p>
    <w:p w14:paraId="6C91CFDF">
      <w:pPr>
        <w:adjustRightInd w:val="0"/>
        <w:spacing w:line="360" w:lineRule="auto"/>
        <w:ind w:firstLine="420" w:firstLineChars="200"/>
        <w:rPr>
          <w:rFonts w:hint="eastAsia" w:ascii="宋体" w:hAnsi="宋体" w:eastAsia="宋体" w:cs="宋体"/>
          <w:color w:val="auto"/>
          <w:sz w:val="21"/>
          <w:szCs w:val="21"/>
          <w:highlight w:val="none"/>
        </w:rPr>
      </w:pPr>
      <w:bookmarkStart w:id="279" w:name="_bookmark264"/>
      <w:bookmarkEnd w:id="279"/>
      <w:r>
        <w:rPr>
          <w:rFonts w:hint="eastAsia" w:ascii="宋体" w:hAnsi="宋体" w:eastAsia="宋体" w:cs="宋体"/>
          <w:color w:val="auto"/>
          <w:sz w:val="21"/>
          <w:szCs w:val="21"/>
          <w:highlight w:val="none"/>
        </w:rPr>
        <w:t>12.1 承包人暂停施工的责任</w:t>
      </w:r>
    </w:p>
    <w:p w14:paraId="0109D8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 由承包人承担的其他暂停施工：</w:t>
      </w:r>
      <w:r>
        <w:rPr>
          <w:rFonts w:hint="eastAsia" w:ascii="宋体" w:hAnsi="宋体" w:eastAsia="宋体" w:cs="宋体"/>
          <w:color w:val="auto"/>
          <w:sz w:val="21"/>
          <w:szCs w:val="21"/>
          <w:highlight w:val="none"/>
          <w:u w:val="single"/>
        </w:rPr>
        <w:t>由承包人承担责任</w:t>
      </w:r>
      <w:r>
        <w:rPr>
          <w:rFonts w:hint="eastAsia" w:ascii="宋体" w:hAnsi="宋体" w:eastAsia="宋体" w:cs="宋体"/>
          <w:color w:val="auto"/>
          <w:sz w:val="21"/>
          <w:szCs w:val="21"/>
          <w:highlight w:val="none"/>
        </w:rPr>
        <w:t>。</w:t>
      </w:r>
    </w:p>
    <w:p w14:paraId="0D7030E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计量</w:t>
      </w:r>
    </w:p>
    <w:p w14:paraId="515B965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17.1.5 本项目工程量清单中总额价子目的支付原则和支付进度：</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6C3E09">
      <w:pPr>
        <w:adjustRightInd w:val="0"/>
        <w:spacing w:line="360" w:lineRule="auto"/>
        <w:ind w:firstLine="420" w:firstLineChars="200"/>
        <w:rPr>
          <w:rFonts w:hint="eastAsia" w:ascii="宋体" w:hAnsi="宋体" w:eastAsia="宋体" w:cs="宋体"/>
          <w:color w:val="auto"/>
          <w:sz w:val="21"/>
          <w:szCs w:val="21"/>
          <w:highlight w:val="none"/>
        </w:rPr>
      </w:pPr>
      <w:bookmarkStart w:id="280" w:name="_bookmark265"/>
      <w:bookmarkEnd w:id="280"/>
      <w:r>
        <w:rPr>
          <w:rFonts w:hint="eastAsia" w:ascii="宋体" w:hAnsi="宋体" w:eastAsia="宋体" w:cs="宋体"/>
          <w:color w:val="auto"/>
          <w:sz w:val="21"/>
          <w:szCs w:val="21"/>
          <w:highlight w:val="none"/>
        </w:rPr>
        <w:t>17.3 工程进度付款</w:t>
      </w:r>
    </w:p>
    <w:p w14:paraId="5A6C59CE">
      <w:pPr>
        <w:adjustRightIn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17.3.1 付款周期：</w:t>
      </w:r>
      <w:r>
        <w:rPr>
          <w:rFonts w:hint="eastAsia"/>
          <w:color w:val="auto"/>
          <w:sz w:val="21"/>
          <w:szCs w:val="21"/>
          <w:highlight w:val="none"/>
          <w:lang w:eastAsia="zh-CN"/>
        </w:rPr>
        <w:t>本项目无预付款，工程全部竣工验收合格并经审计后付审计价的50%；验收合格满一年时付至审计价的80%，质保期后结清余款。（以上付款均不计息）</w:t>
      </w:r>
    </w:p>
    <w:p w14:paraId="076F905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17.3.5 农民工工资保证金的缴存时间：</w:t>
      </w:r>
      <w:r>
        <w:rPr>
          <w:rFonts w:hint="eastAsia" w:ascii="宋体" w:hAnsi="宋体" w:eastAsia="宋体" w:cs="宋体"/>
          <w:color w:val="auto"/>
          <w:sz w:val="21"/>
          <w:szCs w:val="21"/>
          <w:highlight w:val="none"/>
          <w:u w:val="single"/>
        </w:rPr>
        <w:t>盐城市交通运输局《关于印发盐城市交通建设项目农民工工资保证金管理的实施细则&gt;的通知》（盐市交建〔2018〕4号）执行</w:t>
      </w:r>
      <w:r>
        <w:rPr>
          <w:rFonts w:hint="eastAsia" w:ascii="宋体" w:hAnsi="宋体" w:eastAsia="宋体" w:cs="宋体"/>
          <w:color w:val="auto"/>
          <w:sz w:val="21"/>
          <w:szCs w:val="21"/>
          <w:highlight w:val="none"/>
        </w:rPr>
        <w:t>。</w:t>
      </w:r>
    </w:p>
    <w:p w14:paraId="1648D6E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农民工工资保证金的缴存金额：</w:t>
      </w:r>
      <w:r>
        <w:rPr>
          <w:rFonts w:hint="eastAsia" w:ascii="宋体" w:hAnsi="宋体" w:eastAsia="宋体" w:cs="宋体"/>
          <w:color w:val="auto"/>
          <w:sz w:val="21"/>
          <w:szCs w:val="21"/>
          <w:highlight w:val="none"/>
          <w:u w:val="single"/>
        </w:rPr>
        <w:t>按盐市交建〔2018〕4号执行</w:t>
      </w:r>
      <w:r>
        <w:rPr>
          <w:rFonts w:hint="eastAsia" w:ascii="宋体" w:hAnsi="宋体" w:eastAsia="宋体" w:cs="宋体"/>
          <w:color w:val="auto"/>
          <w:sz w:val="21"/>
          <w:szCs w:val="21"/>
          <w:highlight w:val="none"/>
        </w:rPr>
        <w:t>。</w:t>
      </w:r>
    </w:p>
    <w:p w14:paraId="6D4BE8C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农民工工资保证金的扣留条件：</w:t>
      </w:r>
      <w:r>
        <w:rPr>
          <w:rFonts w:hint="eastAsia" w:ascii="宋体" w:hAnsi="宋体" w:eastAsia="宋体" w:cs="宋体"/>
          <w:color w:val="auto"/>
          <w:sz w:val="21"/>
          <w:szCs w:val="21"/>
          <w:highlight w:val="none"/>
          <w:u w:val="single"/>
        </w:rPr>
        <w:t>按盐市交建〔2018〕4号执行</w:t>
      </w:r>
      <w:r>
        <w:rPr>
          <w:rFonts w:hint="eastAsia" w:ascii="宋体" w:hAnsi="宋体" w:eastAsia="宋体" w:cs="宋体"/>
          <w:color w:val="auto"/>
          <w:sz w:val="21"/>
          <w:szCs w:val="21"/>
          <w:highlight w:val="none"/>
        </w:rPr>
        <w:t>。</w:t>
      </w:r>
    </w:p>
    <w:p w14:paraId="2DC9F21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农民工工资保证金的返还时间：</w:t>
      </w:r>
      <w:r>
        <w:rPr>
          <w:rFonts w:hint="eastAsia" w:ascii="宋体" w:hAnsi="宋体" w:eastAsia="宋体" w:cs="宋体"/>
          <w:color w:val="auto"/>
          <w:sz w:val="21"/>
          <w:szCs w:val="21"/>
          <w:highlight w:val="none"/>
          <w:u w:val="single"/>
        </w:rPr>
        <w:t>按盐市交建〔2018〕4号执行</w:t>
      </w:r>
      <w:r>
        <w:rPr>
          <w:rFonts w:hint="eastAsia" w:ascii="宋体" w:hAnsi="宋体" w:eastAsia="宋体" w:cs="宋体"/>
          <w:color w:val="auto"/>
          <w:sz w:val="21"/>
          <w:szCs w:val="21"/>
          <w:highlight w:val="none"/>
        </w:rPr>
        <w:t>。</w:t>
      </w:r>
    </w:p>
    <w:p w14:paraId="01D2EA2A">
      <w:pPr>
        <w:adjustRightInd w:val="0"/>
        <w:spacing w:line="360" w:lineRule="auto"/>
        <w:ind w:firstLine="420" w:firstLineChars="200"/>
        <w:rPr>
          <w:rFonts w:hint="eastAsia" w:ascii="宋体" w:hAnsi="宋体" w:eastAsia="宋体" w:cs="宋体"/>
          <w:color w:val="auto"/>
          <w:sz w:val="21"/>
          <w:szCs w:val="21"/>
          <w:highlight w:val="none"/>
        </w:rPr>
      </w:pPr>
      <w:bookmarkStart w:id="281" w:name="_bookmark266"/>
      <w:bookmarkEnd w:id="281"/>
      <w:r>
        <w:rPr>
          <w:rFonts w:hint="eastAsia" w:ascii="宋体" w:hAnsi="宋体" w:eastAsia="宋体" w:cs="宋体"/>
          <w:color w:val="auto"/>
          <w:sz w:val="21"/>
          <w:szCs w:val="21"/>
          <w:highlight w:val="none"/>
        </w:rPr>
        <w:t>21.1 不可抗力的确认</w:t>
      </w:r>
    </w:p>
    <w:p w14:paraId="245E3F6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21.1.1 （6）不可抗力的其他情形：</w:t>
      </w:r>
      <w:r>
        <w:rPr>
          <w:rFonts w:hint="eastAsia" w:ascii="宋体" w:hAnsi="宋体" w:eastAsia="宋体" w:cs="宋体"/>
          <w:color w:val="auto"/>
          <w:sz w:val="21"/>
          <w:szCs w:val="21"/>
          <w:highlight w:val="none"/>
          <w:u w:val="single"/>
        </w:rPr>
        <w:t>按专用条款。</w:t>
      </w:r>
    </w:p>
    <w:p w14:paraId="424F1DB7">
      <w:pPr>
        <w:adjustRightInd w:val="0"/>
        <w:spacing w:line="360" w:lineRule="auto"/>
        <w:ind w:firstLine="420" w:firstLineChars="200"/>
        <w:rPr>
          <w:rFonts w:hint="eastAsia" w:ascii="宋体" w:hAnsi="宋体" w:eastAsia="宋体" w:cs="宋体"/>
          <w:color w:val="auto"/>
          <w:sz w:val="21"/>
          <w:szCs w:val="21"/>
          <w:highlight w:val="none"/>
        </w:rPr>
      </w:pPr>
      <w:bookmarkStart w:id="282" w:name="_bookmark267"/>
      <w:bookmarkEnd w:id="282"/>
      <w:r>
        <w:rPr>
          <w:rFonts w:hint="eastAsia" w:ascii="宋体" w:hAnsi="宋体" w:eastAsia="宋体" w:cs="宋体"/>
          <w:color w:val="auto"/>
          <w:sz w:val="21"/>
          <w:szCs w:val="21"/>
          <w:highlight w:val="none"/>
        </w:rPr>
        <w:t>22.1 承包人违约</w:t>
      </w:r>
    </w:p>
    <w:p w14:paraId="60D9BC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22.1.1 当承包人发生第 22.1.1 项约定的违约情况时，发包人有权向承包人课以违约金，具体约定如下：承包人发生第 22.1.1 项约定的违约情况时，每发生一次，向发包人支付违约金</w:t>
      </w:r>
      <w:r>
        <w:rPr>
          <w:rFonts w:hint="eastAsia" w:ascii="宋体" w:hAnsi="宋体" w:eastAsia="宋体" w:cs="宋体"/>
          <w:color w:val="auto"/>
          <w:sz w:val="21"/>
          <w:szCs w:val="21"/>
          <w:highlight w:val="none"/>
          <w:u w:val="single"/>
        </w:rPr>
        <w:t>2</w:t>
      </w:r>
      <w:r>
        <w:rPr>
          <w:rFonts w:hint="eastAsia" w:ascii="宋体" w:hAnsi="宋体" w:eastAsia="宋体" w:cs="宋体"/>
          <w:color w:val="auto"/>
          <w:sz w:val="21"/>
          <w:szCs w:val="21"/>
          <w:highlight w:val="none"/>
        </w:rPr>
        <w:t>万元。</w:t>
      </w:r>
    </w:p>
    <w:p w14:paraId="4F04FC5A">
      <w:pPr>
        <w:adjustRightInd w:val="0"/>
        <w:spacing w:line="360" w:lineRule="auto"/>
        <w:ind w:firstLine="420" w:firstLineChars="200"/>
        <w:rPr>
          <w:rFonts w:hint="eastAsia" w:ascii="宋体" w:hAnsi="宋体" w:eastAsia="宋体" w:cs="宋体"/>
          <w:color w:val="auto"/>
          <w:sz w:val="21"/>
          <w:szCs w:val="21"/>
          <w:highlight w:val="none"/>
        </w:rPr>
      </w:pPr>
      <w:bookmarkStart w:id="283" w:name="_bookmark268"/>
      <w:bookmarkEnd w:id="283"/>
      <w:r>
        <w:rPr>
          <w:rFonts w:hint="eastAsia" w:ascii="宋体" w:hAnsi="宋体" w:eastAsia="宋体" w:cs="宋体"/>
          <w:color w:val="auto"/>
          <w:sz w:val="21"/>
          <w:szCs w:val="21"/>
          <w:highlight w:val="none"/>
        </w:rPr>
        <w:t>22.2 发包人违约</w:t>
      </w:r>
    </w:p>
    <w:p w14:paraId="23CB9C0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22.2.2 发包人无正当理由不按时返还履约保证金、质量保证金或农民工工资保证金的，发包人应向承包人支付的违约金如下：</w:t>
      </w:r>
      <w:r>
        <w:rPr>
          <w:rFonts w:hint="eastAsia" w:ascii="宋体" w:hAnsi="宋体" w:eastAsia="宋体" w:cs="宋体"/>
          <w:color w:val="auto"/>
          <w:sz w:val="21"/>
          <w:szCs w:val="21"/>
          <w:highlight w:val="none"/>
          <w:u w:val="single"/>
        </w:rPr>
        <w:t xml:space="preserve"> 无</w:t>
      </w:r>
      <w:r>
        <w:rPr>
          <w:rFonts w:hint="eastAsia" w:ascii="宋体" w:hAnsi="宋体" w:eastAsia="宋体" w:cs="宋体"/>
          <w:color w:val="auto"/>
          <w:sz w:val="21"/>
          <w:szCs w:val="21"/>
          <w:highlight w:val="none"/>
        </w:rPr>
        <w:t>。</w:t>
      </w:r>
    </w:p>
    <w:p w14:paraId="5425BEA2">
      <w:pPr>
        <w:adjustRightInd w:val="0"/>
        <w:spacing w:line="360" w:lineRule="auto"/>
        <w:ind w:firstLine="420" w:firstLineChars="200"/>
        <w:rPr>
          <w:rFonts w:hint="eastAsia" w:ascii="宋体" w:hAnsi="宋体" w:eastAsia="宋体" w:cs="宋体"/>
          <w:color w:val="auto"/>
          <w:sz w:val="21"/>
          <w:szCs w:val="21"/>
          <w:highlight w:val="none"/>
        </w:rPr>
      </w:pPr>
    </w:p>
    <w:p w14:paraId="3287D385">
      <w:pPr>
        <w:adjustRightInd w:val="0"/>
        <w:spacing w:line="360" w:lineRule="auto"/>
        <w:ind w:firstLine="420" w:firstLineChars="200"/>
        <w:jc w:val="center"/>
        <w:rPr>
          <w:rFonts w:hint="eastAsia" w:ascii="宋体" w:hAnsi="宋体" w:eastAsia="宋体" w:cs="宋体"/>
          <w:color w:val="auto"/>
          <w:sz w:val="21"/>
          <w:szCs w:val="21"/>
          <w:highlight w:val="none"/>
        </w:rPr>
      </w:pPr>
      <w:bookmarkStart w:id="284" w:name="_bookmark269"/>
      <w:bookmarkEnd w:id="284"/>
      <w:r>
        <w:rPr>
          <w:rFonts w:hint="eastAsia" w:ascii="宋体" w:hAnsi="宋体" w:eastAsia="宋体" w:cs="宋体"/>
          <w:color w:val="auto"/>
          <w:sz w:val="21"/>
          <w:szCs w:val="21"/>
          <w:highlight w:val="none"/>
        </w:rPr>
        <w:br w:type="page"/>
      </w:r>
      <w:bookmarkStart w:id="285" w:name="_Toc2218"/>
      <w:r>
        <w:rPr>
          <w:rFonts w:hint="eastAsia" w:ascii="宋体" w:hAnsi="宋体" w:eastAsia="宋体" w:cs="宋体"/>
          <w:color w:val="auto"/>
          <w:sz w:val="21"/>
          <w:szCs w:val="21"/>
          <w:highlight w:val="none"/>
        </w:rPr>
        <w:t>第三节  合同附件格式</w:t>
      </w:r>
      <w:bookmarkEnd w:id="285"/>
    </w:p>
    <w:p w14:paraId="010FBD8F">
      <w:pPr>
        <w:adjustRightInd w:val="0"/>
        <w:spacing w:line="360" w:lineRule="auto"/>
        <w:ind w:firstLine="420" w:firstLineChars="200"/>
        <w:jc w:val="center"/>
        <w:rPr>
          <w:rFonts w:hint="eastAsia" w:ascii="宋体" w:hAnsi="宋体" w:eastAsia="宋体" w:cs="宋体"/>
          <w:color w:val="auto"/>
          <w:sz w:val="21"/>
          <w:szCs w:val="21"/>
          <w:highlight w:val="none"/>
        </w:rPr>
      </w:pPr>
      <w:bookmarkStart w:id="286" w:name="_bookmark270"/>
      <w:bookmarkEnd w:id="286"/>
      <w:bookmarkStart w:id="287" w:name="_Toc12784"/>
      <w:r>
        <w:rPr>
          <w:rFonts w:hint="eastAsia" w:ascii="宋体" w:hAnsi="宋体" w:eastAsia="宋体" w:cs="宋体"/>
          <w:color w:val="auto"/>
          <w:sz w:val="21"/>
          <w:szCs w:val="21"/>
          <w:highlight w:val="none"/>
        </w:rPr>
        <w:t>附件一 合同协议书</w:t>
      </w:r>
      <w:bookmarkEnd w:id="287"/>
    </w:p>
    <w:p w14:paraId="5761493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响水县大有镇人民政府</w:t>
      </w:r>
      <w:r>
        <w:rPr>
          <w:rFonts w:hint="eastAsia" w:ascii="宋体" w:hAnsi="宋体" w:eastAsia="宋体" w:cs="宋体"/>
          <w:color w:val="auto"/>
          <w:sz w:val="21"/>
          <w:szCs w:val="21"/>
          <w:highlight w:val="none"/>
        </w:rPr>
        <w:t>（以下简称“发包人”）为实施</w:t>
      </w:r>
      <w:r>
        <w:rPr>
          <w:rFonts w:hint="eastAsia" w:ascii="宋体" w:hAnsi="宋体" w:eastAsia="宋体" w:cs="宋体"/>
          <w:color w:val="auto"/>
          <w:sz w:val="21"/>
          <w:szCs w:val="21"/>
          <w:highlight w:val="none"/>
          <w:u w:val="single"/>
          <w:lang w:val="en-US" w:eastAsia="zh-CN"/>
        </w:rPr>
        <w:t xml:space="preserve">     工程</w:t>
      </w:r>
      <w:r>
        <w:rPr>
          <w:rFonts w:hint="eastAsia" w:ascii="宋体" w:hAnsi="宋体" w:eastAsia="宋体" w:cs="宋体"/>
          <w:color w:val="auto"/>
          <w:sz w:val="21"/>
          <w:szCs w:val="21"/>
          <w:highlight w:val="none"/>
        </w:rPr>
        <w:t xml:space="preserve">，已接受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（承包人名称，以下简称“承包人”）对该项目施工的投标。发包人和承包人共同达成如下协议。</w:t>
      </w:r>
    </w:p>
    <w:p w14:paraId="3E8A3883">
      <w:pPr>
        <w:adjustRightInd w:val="0"/>
        <w:spacing w:line="360"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工程概况：</w:t>
      </w:r>
      <w:r>
        <w:rPr>
          <w:rFonts w:hint="eastAsia" w:ascii="宋体" w:hAnsi="宋体" w:eastAsia="宋体" w:cs="宋体"/>
          <w:color w:val="auto"/>
          <w:sz w:val="21"/>
          <w:szCs w:val="21"/>
          <w:highlight w:val="none"/>
          <w:u w:val="single"/>
          <w:lang w:val="en-US" w:eastAsia="zh-CN"/>
        </w:rPr>
        <w:t xml:space="preserve">                    。</w:t>
      </w:r>
    </w:p>
    <w:p w14:paraId="696AB56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下列文件应视为构成合同文件的组成部分：</w:t>
      </w:r>
    </w:p>
    <w:p w14:paraId="2F0A5F1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（1）本协议书及各种合同附件（含评标期间和合同谈判过程中的澄清文件和补充资料）；</w:t>
      </w:r>
    </w:p>
    <w:p w14:paraId="6A66E44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33F0849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（3）投标函及投标函附录；</w:t>
      </w:r>
    </w:p>
    <w:p w14:paraId="1622B09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（4）项目专用合同条款；</w:t>
      </w:r>
    </w:p>
    <w:p w14:paraId="3448B2D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（5）公路工程专用合同条款；</w:t>
      </w:r>
    </w:p>
    <w:p w14:paraId="4B1D4CB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（6）通用合同条款；</w:t>
      </w:r>
    </w:p>
    <w:p w14:paraId="3D4686D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（7）工程量清单计量规则；</w:t>
      </w:r>
    </w:p>
    <w:p w14:paraId="4BF1E3F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（8）技术规范；</w:t>
      </w:r>
    </w:p>
    <w:p w14:paraId="723CF8C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（9）图纸；</w:t>
      </w:r>
    </w:p>
    <w:p w14:paraId="04896F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（10）已标价工程量清单；</w:t>
      </w:r>
    </w:p>
    <w:p w14:paraId="3E22B66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（11）承包人有关人员、设备投入的承诺及投标文件中的其他内容；</w:t>
      </w:r>
    </w:p>
    <w:p w14:paraId="0ADD8B4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（12）其他合同文件。</w:t>
      </w:r>
    </w:p>
    <w:p w14:paraId="60991A0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上述合同文件互相补充和解释。如果合同文件之间存在矛盾或不一致之处，以上述文件的排列顺序在先者为准。</w:t>
      </w:r>
    </w:p>
    <w:p w14:paraId="6D8CCE9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根据工程量清单所列的预计数量和单价或总额价计算的签约合同价：人民币</w:t>
      </w:r>
      <w:r>
        <w:rPr>
          <w:rFonts w:hint="eastAsia" w:ascii="宋体" w:hAnsi="宋体" w:eastAsia="宋体" w:cs="宋体"/>
          <w:color w:val="auto"/>
          <w:sz w:val="21"/>
          <w:szCs w:val="21"/>
          <w:highlight w:val="none"/>
          <w:u w:val="single"/>
        </w:rPr>
        <w:t xml:space="preserve">（大写）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w:t>
      </w:r>
    </w:p>
    <w:p w14:paraId="3661ED72">
      <w:pPr>
        <w:adjustRightInd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承包人项目经理：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。承包人项目总工</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 </w:t>
      </w:r>
    </w:p>
    <w:p w14:paraId="1BE42FA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工程质量符合 </w:t>
      </w:r>
      <w:r>
        <w:rPr>
          <w:rFonts w:hint="eastAsia" w:ascii="宋体" w:hAnsi="宋体" w:eastAsia="宋体" w:cs="宋体"/>
          <w:color w:val="auto"/>
          <w:sz w:val="21"/>
          <w:szCs w:val="21"/>
          <w:highlight w:val="none"/>
          <w:u w:val="single"/>
        </w:rPr>
        <w:t>合格</w:t>
      </w:r>
      <w:r>
        <w:rPr>
          <w:rFonts w:hint="eastAsia" w:ascii="宋体" w:hAnsi="宋体" w:eastAsia="宋体" w:cs="宋体"/>
          <w:color w:val="auto"/>
          <w:sz w:val="21"/>
          <w:szCs w:val="21"/>
          <w:highlight w:val="none"/>
        </w:rPr>
        <w:t>标准。工程安全目标：</w:t>
      </w:r>
      <w:r>
        <w:rPr>
          <w:rFonts w:hint="eastAsia" w:ascii="宋体" w:hAnsi="宋体" w:eastAsia="宋体" w:cs="宋体"/>
          <w:color w:val="auto"/>
          <w:sz w:val="21"/>
          <w:szCs w:val="21"/>
          <w:highlight w:val="none"/>
          <w:u w:val="single"/>
        </w:rPr>
        <w:t>无安全责任事故</w:t>
      </w:r>
      <w:r>
        <w:rPr>
          <w:rFonts w:hint="eastAsia" w:ascii="宋体" w:hAnsi="宋体" w:eastAsia="宋体" w:cs="宋体"/>
          <w:color w:val="auto"/>
          <w:sz w:val="21"/>
          <w:szCs w:val="21"/>
          <w:highlight w:val="none"/>
        </w:rPr>
        <w:t>。</w:t>
      </w:r>
    </w:p>
    <w:p w14:paraId="1DD9DAF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承包人承诺按合同约定承担工程的实施、完成及缺陷修复。</w:t>
      </w:r>
    </w:p>
    <w:p w14:paraId="086D602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发包人承诺按合同约定的条件、时间和方式向承包人支付合同价款。</w:t>
      </w:r>
    </w:p>
    <w:p w14:paraId="57A667E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承包人应按照监理人指示开工，工期为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日历天。</w:t>
      </w:r>
    </w:p>
    <w:p w14:paraId="2093235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本协议书在承包人提供履约保证金后，由双方法定代表人或其委托代理人签署并加盖单位章后生效。全部工程完工后经交工验收合格、缺陷责任期满签发缺陷责任终止证书后失效。</w:t>
      </w:r>
    </w:p>
    <w:p w14:paraId="29D2A09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本协议书正本二份、副本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份，合同双方各执正本一份，副本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份，当正本与副本的内容不一致时，以正本为准。</w:t>
      </w:r>
    </w:p>
    <w:p w14:paraId="2699C83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合同未尽事宜，双方另行签订补充协议。补充协议是合同的组成部分。</w:t>
      </w:r>
    </w:p>
    <w:p w14:paraId="1122C954">
      <w:pPr>
        <w:adjustRightInd w:val="0"/>
        <w:spacing w:line="360" w:lineRule="auto"/>
        <w:ind w:firstLine="420" w:firstLineChars="200"/>
        <w:rPr>
          <w:rFonts w:hint="eastAsia" w:ascii="宋体" w:hAnsi="宋体" w:eastAsia="宋体" w:cs="宋体"/>
          <w:color w:val="auto"/>
          <w:sz w:val="21"/>
          <w:szCs w:val="21"/>
          <w:highlight w:val="none"/>
        </w:rPr>
      </w:pPr>
    </w:p>
    <w:p w14:paraId="55E3D25A">
      <w:pPr>
        <w:adjustRightInd w:val="0"/>
        <w:spacing w:line="360" w:lineRule="auto"/>
        <w:ind w:firstLine="420" w:firstLineChars="200"/>
        <w:rPr>
          <w:rFonts w:hint="eastAsia" w:ascii="宋体" w:hAnsi="宋体" w:eastAsia="宋体" w:cs="宋体"/>
          <w:color w:val="auto"/>
          <w:sz w:val="21"/>
          <w:szCs w:val="21"/>
          <w:highlight w:val="none"/>
        </w:rPr>
      </w:pPr>
    </w:p>
    <w:p w14:paraId="1F74C7A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rPr>
        <w:t>盖单位章）</w:t>
      </w:r>
    </w:p>
    <w:p w14:paraId="4C93D305">
      <w:pPr>
        <w:adjustRightInd w:val="0"/>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p>
    <w:p w14:paraId="3F0609DE">
      <w:pPr>
        <w:adjustRightInd w:val="0"/>
        <w:spacing w:line="240" w:lineRule="auto"/>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或其委托代理人：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p>
    <w:p w14:paraId="5FA66189">
      <w:pPr>
        <w:adjustRightInd w:val="0"/>
        <w:spacing w:line="360" w:lineRule="auto"/>
        <w:ind w:firstLine="420" w:firstLineChars="200"/>
        <w:rPr>
          <w:rFonts w:hint="eastAsia" w:ascii="宋体" w:hAnsi="宋体" w:eastAsia="宋体" w:cs="宋体"/>
          <w:color w:val="auto"/>
          <w:sz w:val="21"/>
          <w:szCs w:val="21"/>
          <w:highlight w:val="none"/>
          <w:u w:val="single"/>
        </w:rPr>
      </w:pPr>
    </w:p>
    <w:p w14:paraId="6B826C8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p>
    <w:p w14:paraId="56F1B01E">
      <w:pPr>
        <w:adjustRightInd w:val="0"/>
        <w:spacing w:line="360" w:lineRule="auto"/>
        <w:ind w:firstLine="420" w:firstLineChars="200"/>
        <w:rPr>
          <w:rFonts w:hint="eastAsia" w:ascii="宋体" w:hAnsi="宋体" w:eastAsia="宋体" w:cs="宋体"/>
          <w:color w:val="auto"/>
          <w:sz w:val="21"/>
          <w:szCs w:val="21"/>
          <w:highlight w:val="none"/>
        </w:rPr>
      </w:pPr>
    </w:p>
    <w:p w14:paraId="5F2BD17F">
      <w:pPr>
        <w:adjustRightInd w:val="0"/>
        <w:spacing w:line="360" w:lineRule="auto"/>
        <w:ind w:firstLine="420" w:firstLineChars="200"/>
        <w:rPr>
          <w:rFonts w:hint="eastAsia" w:ascii="宋体" w:hAnsi="宋体" w:eastAsia="宋体" w:cs="宋体"/>
          <w:color w:val="auto"/>
          <w:sz w:val="21"/>
          <w:szCs w:val="21"/>
          <w:highlight w:val="none"/>
        </w:rPr>
        <w:sectPr>
          <w:headerReference r:id="rId6" w:type="default"/>
          <w:footerReference r:id="rId7" w:type="default"/>
          <w:pgSz w:w="11906" w:h="16838"/>
          <w:pgMar w:top="1440" w:right="1226" w:bottom="1440" w:left="1440" w:header="850" w:footer="992" w:gutter="0"/>
          <w:pgNumType w:fmt="decimal" w:start="1"/>
          <w:cols w:space="720" w:num="1"/>
          <w:rtlGutter w:val="0"/>
          <w:docGrid w:linePitch="0" w:charSpace="0"/>
        </w:sectPr>
      </w:pPr>
    </w:p>
    <w:p w14:paraId="6FC2E996">
      <w:pPr>
        <w:adjustRightInd w:val="0"/>
        <w:spacing w:line="360" w:lineRule="auto"/>
        <w:ind w:firstLine="420" w:firstLineChars="200"/>
        <w:rPr>
          <w:rFonts w:hint="eastAsia" w:ascii="宋体" w:hAnsi="宋体" w:eastAsia="宋体" w:cs="宋体"/>
          <w:color w:val="auto"/>
          <w:sz w:val="21"/>
          <w:szCs w:val="21"/>
          <w:highlight w:val="none"/>
        </w:rPr>
      </w:pPr>
      <w:bookmarkStart w:id="288" w:name="_bookmark271"/>
      <w:bookmarkEnd w:id="288"/>
      <w:bookmarkStart w:id="289" w:name="_Toc1729"/>
      <w:r>
        <w:rPr>
          <w:rFonts w:hint="eastAsia" w:ascii="宋体" w:hAnsi="宋体" w:eastAsia="宋体" w:cs="宋体"/>
          <w:color w:val="auto"/>
          <w:sz w:val="21"/>
          <w:szCs w:val="21"/>
          <w:highlight w:val="none"/>
        </w:rPr>
        <w:t>附件二 廉政合同</w:t>
      </w:r>
      <w:bookmarkEnd w:id="289"/>
    </w:p>
    <w:p w14:paraId="6A2CBA9C">
      <w:pPr>
        <w:adjustRightInd w:val="0"/>
        <w:spacing w:line="360" w:lineRule="auto"/>
        <w:ind w:firstLine="420" w:firstLineChars="200"/>
        <w:jc w:val="center"/>
        <w:rPr>
          <w:rFonts w:hint="eastAsia" w:ascii="宋体" w:hAnsi="宋体" w:eastAsia="宋体" w:cs="宋体"/>
          <w:color w:val="auto"/>
          <w:sz w:val="21"/>
          <w:szCs w:val="21"/>
          <w:highlight w:val="none"/>
        </w:rPr>
      </w:pPr>
    </w:p>
    <w:p w14:paraId="175B9548">
      <w:pPr>
        <w:adjustRightInd w:val="0"/>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廉 政 合 同</w:t>
      </w:r>
    </w:p>
    <w:p w14:paraId="1CDE52A4">
      <w:pPr>
        <w:adjustRightInd w:val="0"/>
        <w:spacing w:line="360" w:lineRule="auto"/>
        <w:ind w:firstLine="420" w:firstLineChars="200"/>
        <w:rPr>
          <w:rFonts w:hint="eastAsia" w:ascii="宋体" w:hAnsi="宋体" w:eastAsia="宋体" w:cs="宋体"/>
          <w:color w:val="auto"/>
          <w:sz w:val="21"/>
          <w:szCs w:val="21"/>
          <w:highlight w:val="none"/>
        </w:rPr>
      </w:pPr>
    </w:p>
    <w:p w14:paraId="1885A04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工程</w:t>
      </w:r>
      <w:r>
        <w:rPr>
          <w:rFonts w:hint="eastAsia" w:ascii="宋体" w:hAnsi="宋体" w:eastAsia="宋体" w:cs="宋体"/>
          <w:color w:val="auto"/>
          <w:sz w:val="21"/>
          <w:szCs w:val="21"/>
          <w:highlight w:val="none"/>
        </w:rPr>
        <w:t>的项目法人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（以下简称“发包人”）与该项目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标段的的施工单位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（施工单位名称，以下简称“承包人”），特订立如下合同。</w:t>
      </w:r>
    </w:p>
    <w:p w14:paraId="14273C7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1.发包人和承包人双方的权利和义务</w:t>
      </w:r>
    </w:p>
    <w:p w14:paraId="2A6A33B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（1）严格遵守党的政策规定和国家有关法律法规及交通运输部的有关规定。</w:t>
      </w:r>
    </w:p>
    <w:p w14:paraId="10390F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（2）严格执行</w:t>
      </w:r>
      <w:r>
        <w:rPr>
          <w:rFonts w:hint="eastAsia"/>
          <w:color w:val="auto"/>
          <w:sz w:val="21"/>
          <w:szCs w:val="21"/>
          <w:highlight w:val="none"/>
          <w:lang w:val="en-US" w:eastAsia="zh-CN"/>
        </w:rPr>
        <w:t>响水县大有镇康庄村“学前路到东直河堆路”改造工程</w:t>
      </w:r>
      <w:r>
        <w:rPr>
          <w:rFonts w:hint="eastAsia" w:ascii="宋体" w:hAnsi="宋体" w:eastAsia="宋体" w:cs="宋体"/>
          <w:color w:val="auto"/>
          <w:sz w:val="21"/>
          <w:szCs w:val="21"/>
          <w:highlight w:val="none"/>
        </w:rPr>
        <w:t>合同文件，自觉按合同办事。</w:t>
      </w:r>
    </w:p>
    <w:p w14:paraId="1635D64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（3）双方的业务活动坚持公开、公正、诚信、透明的原则（法律认定的商业秘密和合同文件另有规定除外），不得损害国家和集体利益，不得违反工程建设管理规章制度。</w:t>
      </w:r>
    </w:p>
    <w:p w14:paraId="333623F2">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（4）建立健全廉政制度，开展廉政教育，设立廉政告示牌，公布举报电话， 监督并认真查处违法违纪行为。</w:t>
      </w:r>
    </w:p>
    <w:p w14:paraId="21336DF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（5）发现对方在业务活动中有违反廉政规定的行为，有及时提醒对方纠正的权利和义务。</w:t>
      </w:r>
    </w:p>
    <w:p w14:paraId="2F0ED52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（6）发现对方严重违反本合同义务条款的行为，有向其上级有关部门举报、建议给予处理并要求告知处理结果的权利。</w:t>
      </w:r>
    </w:p>
    <w:p w14:paraId="2B235DB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2.发包人的义务</w:t>
      </w:r>
    </w:p>
    <w:p w14:paraId="13764F5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（1）发包人及其工作人员不得索要或接受承包人的礼金、有价证券和贵重物品，不得让承包人报销任何应由发包人或发包人工作人员个人支付的费用等。</w:t>
      </w:r>
    </w:p>
    <w:p w14:paraId="57E63FC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（2）发包人工作人员不得参加承包人安排的超标准宴请和娱乐活动；不得接受承包人提供的通信工具、交通工具和高档办公用品等。</w:t>
      </w:r>
    </w:p>
    <w:p w14:paraId="3D3AF8B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（3）发包人及其工作人员不得要求或者接受承包人为其住房装修、婚丧嫁娶活动、配偶子女的工作安排以及出国出境、旅游等提供方便等。</w:t>
      </w:r>
    </w:p>
    <w:p w14:paraId="51740DA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（4）发包人工作人员及其配偶、子女不得从事与发包人工程有关的材料设备供应、工程分包、劳务等经济活动等。</w:t>
      </w:r>
    </w:p>
    <w:p w14:paraId="2901A27F">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（5）发包人及其工作人员不得以任何理由向承包人推荐分包单位或推销材料，不得要求承包人购买合同规定外的材料和设备。</w:t>
      </w:r>
    </w:p>
    <w:p w14:paraId="7C5B477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（6）发包人工作人员要秉公办事，不准营私舞弊，不准利用职权从事各种个人有偿中介活动和安排个人施工队伍。</w:t>
      </w:r>
    </w:p>
    <w:p w14:paraId="00AAC3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3.承包人的义务</w:t>
      </w:r>
    </w:p>
    <w:p w14:paraId="45F8E98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（1）承包人不得以任何理由向发包人及其工作人员行贿或馈赠礼金、有价证券、贵重礼品。</w:t>
      </w:r>
    </w:p>
    <w:p w14:paraId="504C2B7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（2）承包人不得以任何名义为发包人及其工作人员报销应由发包人单位或个人支付的任何费用。</w:t>
      </w:r>
    </w:p>
    <w:p w14:paraId="517CD65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（3）承包人不得以任何理由安排发包人工作人员参加超标准宴请及娱乐活动。</w:t>
      </w:r>
    </w:p>
    <w:p w14:paraId="1025053A">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（4）承包人不得为发包人单位和个人购置或提供通信工具、交通工具和高档办公用品等。</w:t>
      </w:r>
    </w:p>
    <w:p w14:paraId="6E86B750">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4.违约责任</w:t>
      </w:r>
    </w:p>
    <w:p w14:paraId="5F329FC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（1）发包人及其工作人员违反本合同第 1、2 条，按管理权限，依据有关规定给予党纪、政纪或组织处理；涉嫌犯罪的，移交司法机关追究刑事责任；给承包人单位造成经济损失的，应予以赔偿。</w:t>
      </w:r>
    </w:p>
    <w:p w14:paraId="3E88480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（2）承包人及其工作人员违反本合同第 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6FF3113D">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7EF60B9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6.本合同有效期为发包人和承包人签署之日起至该工程项目竣工验收后止。</w:t>
      </w:r>
    </w:p>
    <w:p w14:paraId="494D6BB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7.本合同作为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合同的附件，与工程施工合同具有同等的法律效力，经合同双方签署后立即生效。</w:t>
      </w:r>
    </w:p>
    <w:p w14:paraId="70ACD81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8.本合同一式肆份，由发包人和承包人各执两份。</w:t>
      </w:r>
    </w:p>
    <w:p w14:paraId="6C9A182F">
      <w:pPr>
        <w:adjustRightInd w:val="0"/>
        <w:spacing w:line="360" w:lineRule="auto"/>
        <w:ind w:firstLine="420" w:firstLineChars="200"/>
        <w:rPr>
          <w:rFonts w:hint="eastAsia" w:ascii="宋体" w:hAnsi="宋体" w:eastAsia="宋体" w:cs="宋体"/>
          <w:color w:val="auto"/>
          <w:sz w:val="21"/>
          <w:szCs w:val="21"/>
          <w:highlight w:val="none"/>
        </w:rPr>
      </w:pPr>
    </w:p>
    <w:p w14:paraId="7341D7C7">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（盖单位章）</w:t>
      </w:r>
    </w:p>
    <w:p w14:paraId="20EC2E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（签字）</w:t>
      </w:r>
    </w:p>
    <w:p w14:paraId="7EABB7EF">
      <w:pPr>
        <w:adjustRightInd w:val="0"/>
        <w:spacing w:line="360" w:lineRule="auto"/>
        <w:ind w:firstLine="420" w:firstLineChars="200"/>
        <w:rPr>
          <w:rFonts w:hint="eastAsia" w:ascii="宋体" w:hAnsi="宋体" w:eastAsia="宋体" w:cs="宋体"/>
          <w:color w:val="auto"/>
          <w:sz w:val="21"/>
          <w:szCs w:val="21"/>
          <w:highlight w:val="none"/>
        </w:rPr>
      </w:pPr>
    </w:p>
    <w:p w14:paraId="211E8F71">
      <w:pPr>
        <w:adjustRightInd w:val="0"/>
        <w:spacing w:line="360" w:lineRule="auto"/>
        <w:ind w:firstLine="420" w:firstLineChars="200"/>
        <w:rPr>
          <w:rFonts w:hint="eastAsia" w:ascii="宋体" w:hAnsi="宋体" w:eastAsia="宋体" w:cs="宋体"/>
          <w:color w:val="auto"/>
          <w:sz w:val="21"/>
          <w:szCs w:val="21"/>
          <w:highlight w:val="none"/>
        </w:rPr>
        <w:sectPr>
          <w:pgSz w:w="11906" w:h="16838"/>
          <w:pgMar w:top="1440" w:right="1440" w:bottom="1440" w:left="1440" w:header="850" w:footer="992" w:gutter="0"/>
          <w:pgNumType w:fmt="decimal"/>
          <w:cols w:space="720" w:num="1"/>
        </w:sectPr>
      </w:pPr>
    </w:p>
    <w:p w14:paraId="05DD38CE">
      <w:pPr>
        <w:adjustRightInd w:val="0"/>
        <w:spacing w:line="360" w:lineRule="auto"/>
        <w:ind w:firstLine="420" w:firstLineChars="200"/>
        <w:rPr>
          <w:rFonts w:hint="eastAsia" w:ascii="宋体" w:hAnsi="宋体" w:eastAsia="宋体" w:cs="宋体"/>
          <w:color w:val="auto"/>
          <w:sz w:val="21"/>
          <w:szCs w:val="21"/>
          <w:highlight w:val="none"/>
        </w:rPr>
      </w:pPr>
      <w:bookmarkStart w:id="290" w:name="_Toc15185"/>
      <w:r>
        <w:rPr>
          <w:rFonts w:hint="eastAsia" w:ascii="宋体" w:hAnsi="宋体" w:eastAsia="宋体" w:cs="宋体"/>
          <w:color w:val="auto"/>
          <w:sz w:val="21"/>
          <w:szCs w:val="21"/>
          <w:highlight w:val="none"/>
        </w:rPr>
        <w:t>附件三 安全生产合同</w:t>
      </w:r>
      <w:bookmarkEnd w:id="290"/>
    </w:p>
    <w:p w14:paraId="243D27B4">
      <w:pPr>
        <w:adjustRightInd w:val="0"/>
        <w:spacing w:line="360" w:lineRule="auto"/>
        <w:ind w:firstLine="420" w:firstLineChars="200"/>
        <w:rPr>
          <w:rFonts w:hint="eastAsia" w:ascii="宋体" w:hAnsi="宋体" w:eastAsia="宋体" w:cs="宋体"/>
          <w:color w:val="auto"/>
          <w:sz w:val="21"/>
          <w:szCs w:val="21"/>
          <w:highlight w:val="none"/>
        </w:rPr>
      </w:pPr>
    </w:p>
    <w:p w14:paraId="35792058">
      <w:pPr>
        <w:adjustRightInd w:val="0"/>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安全生产合同</w:t>
      </w:r>
    </w:p>
    <w:p w14:paraId="653666DD">
      <w:pPr>
        <w:adjustRightInd w:val="0"/>
        <w:spacing w:line="360" w:lineRule="auto"/>
        <w:ind w:firstLine="420" w:firstLineChars="200"/>
        <w:rPr>
          <w:rFonts w:hint="eastAsia" w:ascii="宋体" w:hAnsi="宋体" w:eastAsia="宋体" w:cs="宋体"/>
          <w:color w:val="auto"/>
          <w:sz w:val="21"/>
          <w:szCs w:val="21"/>
          <w:highlight w:val="none"/>
        </w:rPr>
      </w:pPr>
    </w:p>
    <w:p w14:paraId="031EFBC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工程</w:t>
      </w:r>
      <w:r>
        <w:rPr>
          <w:rFonts w:hint="eastAsia" w:ascii="宋体" w:hAnsi="宋体" w:eastAsia="宋体" w:cs="宋体"/>
          <w:color w:val="auto"/>
          <w:sz w:val="21"/>
          <w:szCs w:val="21"/>
          <w:highlight w:val="none"/>
        </w:rPr>
        <w:t>合同的实施过程中创造安全、高效的施工环境，切实搞好本项目的安全管理工作，本项目发包人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（以下简称“发包人”）与承包人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（承包人名称，以下简称“承包人”）特此签订安全生产合同。</w:t>
      </w:r>
    </w:p>
    <w:p w14:paraId="475B57B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1.发包人职责</w:t>
      </w:r>
    </w:p>
    <w:p w14:paraId="45BA7D3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（1）严格遵守国家有关安全生产的法律法规，认真执行工程承包合同中的有关安全要求。</w:t>
      </w:r>
    </w:p>
    <w:p w14:paraId="407039A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（2）按照“安全第一、预防为主、综合治理”和坚持“管生产必须管安全”的原则进行安全生产管理，做到生产与安全工作同时计划、布置、检查、总结和评比。</w:t>
      </w:r>
    </w:p>
    <w:p w14:paraId="45D1D28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（3）重要的安全设施必须坚持与主体工程“三同时”的原则，即：同时设计、审批，同时施工，同时验收，投入使用。</w:t>
      </w:r>
    </w:p>
    <w:p w14:paraId="1FFC59A6">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（4）定期召开安全生产调度会，及时传达中央及地方有关安全生产的精神。</w:t>
      </w:r>
    </w:p>
    <w:p w14:paraId="25DD2B1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（5）组织对承包人施工现场进行安全生产检查，监督承包人及时处理发现的各种安全隐患。</w:t>
      </w:r>
    </w:p>
    <w:p w14:paraId="1E837DF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2.承包人职责</w:t>
      </w:r>
    </w:p>
    <w:p w14:paraId="271D69D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651A6124">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坚持“安全第一、预防为主、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CF142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5865C3AE">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（4）承包人在任何时候都应采取各种合理的预防措施，防止其员工发生任何违法、违禁、暴力或妨碍治安的行为。</w:t>
      </w:r>
    </w:p>
    <w:p w14:paraId="500AEF9B">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4BFBD86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7D66B7B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（7）操作人员上岗，必须按规定穿戴防护用品。施工负责人和安全检查员应随时检查劳动防护用品的穿戴情况，不按规定穿戴防护用品的人员不得上岗。</w:t>
      </w:r>
    </w:p>
    <w:p w14:paraId="075F7B7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（8）所有施工机具设备和高空作业的设备均应定期检查，并有安全员的签字记录，保证其经常处于完好状态；不合格的机具、设备和劳动保护用品严禁使用。</w:t>
      </w:r>
    </w:p>
    <w:p w14:paraId="6EB0AD29">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（9）施工中采用新技术、新工艺、新设备、新材料时，必须制定相应的安全技术措施，施工现场必须具有相关的安全标志牌。</w:t>
      </w:r>
    </w:p>
    <w:p w14:paraId="5F3D5E6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6A0EF4A3">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（11）安全生产费用按照《公路水运工程安全生产监督管理办法》的相关规定使用和管理。</w:t>
      </w:r>
    </w:p>
    <w:p w14:paraId="4035D40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3.违约责任</w:t>
      </w:r>
    </w:p>
    <w:p w14:paraId="0C2C8831">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如因发包人或承包人违约造成安全事故，将依法追究责任。</w:t>
      </w:r>
    </w:p>
    <w:p w14:paraId="1530C09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4.本合同由双方法定代表人或其授权的代理人签署并加盖单位章后生效，全部工程竣工验收后失效。</w:t>
      </w:r>
    </w:p>
    <w:p w14:paraId="160D81A8">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5.本合同正本二份、副本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份，合同双方各执正本一份，副本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份，当正本与副本的内容不一致时，以正本为准。</w:t>
      </w:r>
    </w:p>
    <w:p w14:paraId="650C6FDB">
      <w:pPr>
        <w:adjustRightInd w:val="0"/>
        <w:spacing w:line="360" w:lineRule="auto"/>
        <w:ind w:firstLine="420" w:firstLineChars="200"/>
        <w:rPr>
          <w:rFonts w:hint="eastAsia" w:ascii="宋体" w:hAnsi="宋体" w:eastAsia="宋体" w:cs="宋体"/>
          <w:color w:val="auto"/>
          <w:sz w:val="21"/>
          <w:szCs w:val="21"/>
          <w:highlight w:val="none"/>
        </w:rPr>
      </w:pPr>
    </w:p>
    <w:p w14:paraId="45CB7FB8">
      <w:pPr>
        <w:adjustRightInd w:val="0"/>
        <w:spacing w:line="360" w:lineRule="auto"/>
        <w:ind w:firstLine="420" w:firstLineChars="200"/>
        <w:rPr>
          <w:rFonts w:hint="eastAsia" w:ascii="宋体" w:hAnsi="宋体" w:eastAsia="宋体" w:cs="宋体"/>
          <w:color w:val="auto"/>
          <w:sz w:val="21"/>
          <w:szCs w:val="21"/>
          <w:highlight w:val="none"/>
        </w:rPr>
      </w:pPr>
    </w:p>
    <w:p w14:paraId="7EF025C5">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盖单位章）</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11CF3ECC">
      <w:pPr>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w:t>
      </w:r>
    </w:p>
    <w:p w14:paraId="067148B1">
      <w:pPr>
        <w:adjustRightInd w:val="0"/>
        <w:spacing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rPr>
        <w:tab/>
      </w:r>
      <w:r>
        <w:rPr>
          <w:rFonts w:hint="eastAsia" w:ascii="宋体" w:hAnsi="宋体" w:eastAsia="宋体" w:cs="宋体"/>
          <w:color w:val="auto"/>
          <w:sz w:val="21"/>
          <w:szCs w:val="21"/>
          <w:highlight w:val="none"/>
        </w:rPr>
        <w:t>日</w:t>
      </w:r>
    </w:p>
    <w:p w14:paraId="2526B2FA">
      <w:pPr>
        <w:numPr>
          <w:ilvl w:val="0"/>
          <w:numId w:val="3"/>
        </w:numPr>
        <w:autoSpaceDE w:val="0"/>
        <w:autoSpaceDN w:val="0"/>
        <w:adjustRightInd w:val="0"/>
        <w:spacing w:line="240" w:lineRule="auto"/>
        <w:ind w:firstLine="422" w:firstLineChars="200"/>
        <w:jc w:val="center"/>
        <w:outlineLvl w:val="0"/>
        <w:rPr>
          <w:rFonts w:hint="eastAsia" w:ascii="宋体" w:hAnsi="宋体" w:eastAsia="宋体" w:cs="宋体"/>
          <w:b/>
          <w:color w:val="auto"/>
          <w:kern w:val="44"/>
          <w:sz w:val="44"/>
          <w:szCs w:val="32"/>
          <w:highlight w:val="none"/>
          <w:lang w:val="en-US" w:eastAsia="zh-CN" w:bidi="ar-SA"/>
        </w:rPr>
      </w:pPr>
      <w:r>
        <w:rPr>
          <w:rFonts w:hint="eastAsia" w:ascii="宋体" w:hAnsi="宋体" w:cs="宋体"/>
          <w:b/>
          <w:color w:val="auto"/>
          <w:szCs w:val="21"/>
          <w:highlight w:val="none"/>
        </w:rPr>
        <w:br w:type="page"/>
      </w:r>
      <w:bookmarkStart w:id="291" w:name="_Toc302986274"/>
      <w:r>
        <w:rPr>
          <w:rFonts w:hint="eastAsia" w:ascii="宋体" w:hAnsi="宋体" w:eastAsia="宋体" w:cs="宋体"/>
          <w:b/>
          <w:color w:val="auto"/>
          <w:kern w:val="44"/>
          <w:sz w:val="44"/>
          <w:szCs w:val="32"/>
          <w:highlight w:val="none"/>
          <w:lang w:val="en-US" w:eastAsia="zh-CN" w:bidi="ar-SA"/>
        </w:rPr>
        <w:t xml:space="preserve"> </w:t>
      </w:r>
      <w:bookmarkStart w:id="292" w:name="_Toc20366"/>
      <w:r>
        <w:rPr>
          <w:rFonts w:hint="eastAsia" w:ascii="宋体" w:hAnsi="宋体" w:eastAsia="宋体" w:cs="宋体"/>
          <w:b/>
          <w:color w:val="auto"/>
          <w:kern w:val="44"/>
          <w:sz w:val="44"/>
          <w:szCs w:val="32"/>
          <w:highlight w:val="none"/>
          <w:lang w:val="en-US" w:eastAsia="zh-CN" w:bidi="ar-SA"/>
        </w:rPr>
        <w:t>工程量清单</w:t>
      </w:r>
      <w:bookmarkEnd w:id="153"/>
      <w:bookmarkEnd w:id="154"/>
      <w:bookmarkEnd w:id="155"/>
      <w:bookmarkEnd w:id="156"/>
      <w:bookmarkEnd w:id="157"/>
      <w:bookmarkEnd w:id="158"/>
      <w:bookmarkEnd w:id="159"/>
      <w:bookmarkEnd w:id="160"/>
      <w:bookmarkEnd w:id="291"/>
      <w:bookmarkEnd w:id="292"/>
      <w:bookmarkStart w:id="293" w:name="OLE_LINK10"/>
    </w:p>
    <w:p w14:paraId="76E656CD">
      <w:pPr>
        <w:numPr>
          <w:ilvl w:val="0"/>
          <w:numId w:val="0"/>
        </w:numPr>
        <w:autoSpaceDE w:val="0"/>
        <w:autoSpaceDN w:val="0"/>
        <w:adjustRightInd w:val="0"/>
        <w:spacing w:line="240" w:lineRule="auto"/>
        <w:jc w:val="center"/>
        <w:outlineLvl w:val="9"/>
        <w:rPr>
          <w:rFonts w:hint="eastAsia" w:ascii="宋体" w:hAnsi="宋体" w:cs="宋体"/>
          <w:b w:val="0"/>
          <w:bCs w:val="0"/>
          <w:color w:val="auto"/>
          <w:kern w:val="0"/>
          <w:sz w:val="32"/>
          <w:szCs w:val="32"/>
          <w:highlight w:val="none"/>
          <w:lang w:val="en-US" w:eastAsia="zh-CN"/>
        </w:rPr>
      </w:pPr>
    </w:p>
    <w:p w14:paraId="2B592B99">
      <w:pPr>
        <w:numPr>
          <w:ilvl w:val="0"/>
          <w:numId w:val="0"/>
        </w:numPr>
        <w:autoSpaceDE w:val="0"/>
        <w:autoSpaceDN w:val="0"/>
        <w:adjustRightInd w:val="0"/>
        <w:spacing w:line="240" w:lineRule="auto"/>
        <w:jc w:val="center"/>
        <w:outlineLvl w:val="9"/>
        <w:rPr>
          <w:color w:val="auto"/>
          <w:highlight w:val="none"/>
        </w:rPr>
      </w:pPr>
      <w:r>
        <w:rPr>
          <w:rFonts w:hint="eastAsia" w:ascii="宋体" w:hAnsi="宋体" w:cs="宋体"/>
          <w:b w:val="0"/>
          <w:bCs w:val="0"/>
          <w:color w:val="auto"/>
          <w:kern w:val="0"/>
          <w:sz w:val="32"/>
          <w:szCs w:val="32"/>
          <w:highlight w:val="none"/>
          <w:lang w:val="en-US" w:eastAsia="zh-CN"/>
        </w:rPr>
        <w:t>另附</w:t>
      </w:r>
      <w:r>
        <w:rPr>
          <w:rFonts w:ascii="宋体" w:hAnsi="宋体" w:cs="宋体"/>
          <w:b/>
          <w:bCs/>
          <w:color w:val="auto"/>
          <w:kern w:val="0"/>
          <w:sz w:val="24"/>
          <w:highlight w:val="none"/>
        </w:rPr>
        <w:br w:type="page"/>
      </w:r>
    </w:p>
    <w:bookmarkEnd w:id="293"/>
    <w:p w14:paraId="1D1C0F6E">
      <w:pPr>
        <w:autoSpaceDE w:val="0"/>
        <w:autoSpaceDN w:val="0"/>
        <w:adjustRightInd w:val="0"/>
        <w:spacing w:line="240" w:lineRule="auto"/>
        <w:jc w:val="center"/>
        <w:outlineLvl w:val="0"/>
        <w:rPr>
          <w:rFonts w:hint="eastAsia" w:ascii="宋体" w:hAnsi="宋体" w:eastAsia="宋体" w:cs="宋体"/>
          <w:b/>
          <w:color w:val="auto"/>
          <w:kern w:val="44"/>
          <w:sz w:val="44"/>
          <w:szCs w:val="32"/>
          <w:highlight w:val="none"/>
          <w:lang w:val="en-US" w:eastAsia="zh-CN" w:bidi="ar-SA"/>
        </w:rPr>
      </w:pPr>
      <w:bookmarkStart w:id="294" w:name="_Toc228591600"/>
      <w:bookmarkStart w:id="295" w:name="_Toc302986286"/>
      <w:bookmarkStart w:id="296" w:name="_Toc228591748"/>
      <w:bookmarkStart w:id="297" w:name="_Toc214433980"/>
      <w:bookmarkStart w:id="298" w:name="_Toc228881240"/>
      <w:bookmarkStart w:id="299" w:name="_Toc227492336"/>
      <w:bookmarkStart w:id="300" w:name="_Toc6618"/>
      <w:bookmarkStart w:id="301" w:name="_Toc228337189"/>
      <w:bookmarkStart w:id="302" w:name="_Toc228589254"/>
      <w:bookmarkStart w:id="303" w:name="_Toc227657578"/>
      <w:r>
        <w:rPr>
          <w:rFonts w:hint="eastAsia" w:ascii="宋体" w:hAnsi="宋体" w:eastAsia="宋体" w:cs="宋体"/>
          <w:b/>
          <w:color w:val="auto"/>
          <w:kern w:val="44"/>
          <w:sz w:val="44"/>
          <w:szCs w:val="32"/>
          <w:highlight w:val="none"/>
          <w:lang w:val="en-US" w:eastAsia="zh-CN" w:bidi="ar-SA"/>
        </w:rPr>
        <w:t>第六章  投标文件格式</w:t>
      </w:r>
      <w:bookmarkEnd w:id="294"/>
      <w:bookmarkEnd w:id="295"/>
      <w:bookmarkEnd w:id="296"/>
      <w:bookmarkEnd w:id="297"/>
      <w:bookmarkEnd w:id="298"/>
      <w:bookmarkEnd w:id="299"/>
      <w:bookmarkEnd w:id="300"/>
      <w:bookmarkEnd w:id="301"/>
      <w:bookmarkEnd w:id="302"/>
      <w:bookmarkEnd w:id="303"/>
    </w:p>
    <w:p w14:paraId="6FAFB955">
      <w:pPr>
        <w:autoSpaceDE w:val="0"/>
        <w:autoSpaceDN w:val="0"/>
        <w:adjustRightInd w:val="0"/>
        <w:spacing w:line="420" w:lineRule="exact"/>
        <w:jc w:val="center"/>
        <w:outlineLvl w:val="9"/>
        <w:rPr>
          <w:rFonts w:ascii="宋体" w:hAnsi="宋体" w:cs="宋体"/>
          <w:color w:val="auto"/>
          <w:kern w:val="0"/>
          <w:sz w:val="32"/>
          <w:highlight w:val="none"/>
        </w:rPr>
      </w:pPr>
    </w:p>
    <w:p w14:paraId="1F759D5E">
      <w:pPr>
        <w:autoSpaceDE w:val="0"/>
        <w:autoSpaceDN w:val="0"/>
        <w:adjustRightInd w:val="0"/>
        <w:spacing w:line="420" w:lineRule="exact"/>
        <w:ind w:firstLine="560" w:firstLineChars="200"/>
        <w:jc w:val="left"/>
        <w:rPr>
          <w:rFonts w:ascii="宋体" w:hAnsi="宋体" w:cs="宋体"/>
          <w:color w:val="auto"/>
          <w:kern w:val="0"/>
          <w:sz w:val="28"/>
          <w:highlight w:val="none"/>
        </w:rPr>
      </w:pPr>
    </w:p>
    <w:p w14:paraId="5CC67E26">
      <w:pPr>
        <w:autoSpaceDE w:val="0"/>
        <w:autoSpaceDN w:val="0"/>
        <w:adjustRightInd w:val="0"/>
        <w:spacing w:line="420" w:lineRule="exact"/>
        <w:ind w:firstLine="620" w:firstLineChars="200"/>
        <w:jc w:val="center"/>
        <w:rPr>
          <w:rFonts w:ascii="宋体" w:hAnsi="宋体" w:cs="宋体"/>
          <w:color w:val="auto"/>
          <w:kern w:val="0"/>
          <w:sz w:val="28"/>
          <w:highlight w:val="none"/>
        </w:rPr>
      </w:pPr>
      <w:r>
        <w:rPr>
          <w:rFonts w:hint="eastAsia" w:ascii="宋体" w:hAnsi="宋体" w:cs="宋体"/>
          <w:color w:val="auto"/>
          <w:sz w:val="31"/>
          <w:highlight w:val="none"/>
          <w:u w:val="single"/>
        </w:rPr>
        <w:t xml:space="preserve">     （项目名称）    </w:t>
      </w:r>
      <w:r>
        <w:rPr>
          <w:rFonts w:hint="eastAsia" w:ascii="宋体" w:hAnsi="宋体" w:cs="宋体"/>
          <w:color w:val="auto"/>
          <w:sz w:val="31"/>
          <w:highlight w:val="none"/>
        </w:rPr>
        <w:t>施工招标</w:t>
      </w:r>
    </w:p>
    <w:p w14:paraId="263D3E5F">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3A2D58A4">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629DEA7C">
      <w:pPr>
        <w:autoSpaceDE w:val="0"/>
        <w:autoSpaceDN w:val="0"/>
        <w:adjustRightInd w:val="0"/>
        <w:spacing w:line="420" w:lineRule="exact"/>
        <w:ind w:firstLine="2520" w:firstLineChars="900"/>
        <w:jc w:val="left"/>
        <w:rPr>
          <w:rFonts w:ascii="宋体" w:hAnsi="宋体" w:cs="宋体"/>
          <w:color w:val="auto"/>
          <w:kern w:val="0"/>
          <w:sz w:val="28"/>
          <w:highlight w:val="none"/>
        </w:rPr>
      </w:pPr>
    </w:p>
    <w:p w14:paraId="083FCFE9">
      <w:pPr>
        <w:autoSpaceDE w:val="0"/>
        <w:autoSpaceDN w:val="0"/>
        <w:adjustRightInd w:val="0"/>
        <w:spacing w:line="420" w:lineRule="exact"/>
        <w:jc w:val="left"/>
        <w:rPr>
          <w:rFonts w:ascii="宋体" w:hAnsi="宋体" w:cs="宋体"/>
          <w:color w:val="auto"/>
          <w:kern w:val="0"/>
          <w:sz w:val="28"/>
          <w:highlight w:val="none"/>
        </w:rPr>
      </w:pPr>
    </w:p>
    <w:p w14:paraId="0FFF9D67">
      <w:pPr>
        <w:autoSpaceDE w:val="0"/>
        <w:autoSpaceDN w:val="0"/>
        <w:adjustRightInd w:val="0"/>
        <w:spacing w:line="420" w:lineRule="exact"/>
        <w:jc w:val="center"/>
        <w:rPr>
          <w:rFonts w:ascii="宋体" w:hAnsi="宋体" w:cs="宋体"/>
          <w:b/>
          <w:color w:val="auto"/>
          <w:spacing w:val="60"/>
          <w:kern w:val="0"/>
          <w:sz w:val="70"/>
          <w:highlight w:val="none"/>
        </w:rPr>
      </w:pPr>
    </w:p>
    <w:p w14:paraId="1FEF5063">
      <w:pPr>
        <w:autoSpaceDE w:val="0"/>
        <w:autoSpaceDN w:val="0"/>
        <w:adjustRightInd w:val="0"/>
        <w:spacing w:line="420" w:lineRule="exact"/>
        <w:jc w:val="center"/>
        <w:rPr>
          <w:rFonts w:ascii="宋体" w:hAnsi="宋体" w:cs="宋体"/>
          <w:b/>
          <w:color w:val="auto"/>
          <w:spacing w:val="60"/>
          <w:kern w:val="0"/>
          <w:sz w:val="70"/>
          <w:highlight w:val="none"/>
        </w:rPr>
      </w:pPr>
    </w:p>
    <w:p w14:paraId="42BCF3C2">
      <w:pPr>
        <w:autoSpaceDE w:val="0"/>
        <w:autoSpaceDN w:val="0"/>
        <w:adjustRightInd w:val="0"/>
        <w:spacing w:line="420" w:lineRule="exact"/>
        <w:jc w:val="center"/>
        <w:rPr>
          <w:rFonts w:ascii="宋体" w:hAnsi="宋体" w:cs="宋体"/>
          <w:b/>
          <w:color w:val="auto"/>
          <w:spacing w:val="60"/>
          <w:kern w:val="0"/>
          <w:sz w:val="70"/>
          <w:highlight w:val="none"/>
        </w:rPr>
      </w:pPr>
    </w:p>
    <w:p w14:paraId="3EF17597">
      <w:pPr>
        <w:autoSpaceDE w:val="0"/>
        <w:autoSpaceDN w:val="0"/>
        <w:adjustRightInd w:val="0"/>
        <w:spacing w:line="360" w:lineRule="auto"/>
        <w:jc w:val="center"/>
        <w:rPr>
          <w:rFonts w:ascii="宋体" w:hAnsi="宋体" w:cs="宋体"/>
          <w:b/>
          <w:color w:val="auto"/>
          <w:spacing w:val="60"/>
          <w:kern w:val="0"/>
          <w:sz w:val="70"/>
          <w:highlight w:val="none"/>
        </w:rPr>
      </w:pPr>
      <w:r>
        <w:rPr>
          <w:rFonts w:hint="eastAsia" w:ascii="宋体" w:hAnsi="宋体" w:cs="宋体"/>
          <w:b/>
          <w:color w:val="auto"/>
          <w:spacing w:val="60"/>
          <w:kern w:val="0"/>
          <w:sz w:val="70"/>
          <w:highlight w:val="none"/>
        </w:rPr>
        <w:t>投 标 文 件</w:t>
      </w:r>
    </w:p>
    <w:p w14:paraId="6CA36AAC">
      <w:pPr>
        <w:autoSpaceDE w:val="0"/>
        <w:autoSpaceDN w:val="0"/>
        <w:adjustRightInd w:val="0"/>
        <w:spacing w:line="420" w:lineRule="exact"/>
        <w:jc w:val="center"/>
        <w:rPr>
          <w:rFonts w:ascii="宋体" w:hAnsi="宋体" w:cs="宋体"/>
          <w:color w:val="auto"/>
          <w:kern w:val="0"/>
          <w:sz w:val="44"/>
          <w:highlight w:val="none"/>
        </w:rPr>
      </w:pPr>
    </w:p>
    <w:p w14:paraId="1B8F9A9E">
      <w:pPr>
        <w:autoSpaceDE w:val="0"/>
        <w:autoSpaceDN w:val="0"/>
        <w:adjustRightInd w:val="0"/>
        <w:spacing w:line="420" w:lineRule="exact"/>
        <w:jc w:val="center"/>
        <w:rPr>
          <w:rFonts w:ascii="宋体" w:hAnsi="宋体" w:cs="宋体"/>
          <w:color w:val="auto"/>
          <w:kern w:val="0"/>
          <w:sz w:val="44"/>
          <w:highlight w:val="none"/>
        </w:rPr>
      </w:pPr>
    </w:p>
    <w:p w14:paraId="2B971176">
      <w:pPr>
        <w:autoSpaceDE w:val="0"/>
        <w:autoSpaceDN w:val="0"/>
        <w:adjustRightInd w:val="0"/>
        <w:spacing w:line="420" w:lineRule="exact"/>
        <w:rPr>
          <w:rFonts w:ascii="宋体" w:hAnsi="宋体" w:cs="宋体"/>
          <w:color w:val="auto"/>
          <w:kern w:val="0"/>
          <w:sz w:val="44"/>
          <w:highlight w:val="none"/>
        </w:rPr>
      </w:pPr>
    </w:p>
    <w:p w14:paraId="626128C7">
      <w:pPr>
        <w:autoSpaceDE w:val="0"/>
        <w:autoSpaceDN w:val="0"/>
        <w:adjustRightInd w:val="0"/>
        <w:spacing w:line="420" w:lineRule="exact"/>
        <w:rPr>
          <w:rFonts w:ascii="宋体" w:hAnsi="宋体" w:cs="宋体"/>
          <w:color w:val="auto"/>
          <w:kern w:val="0"/>
          <w:sz w:val="44"/>
          <w:highlight w:val="none"/>
        </w:rPr>
      </w:pPr>
    </w:p>
    <w:p w14:paraId="5512663B">
      <w:pPr>
        <w:autoSpaceDE w:val="0"/>
        <w:autoSpaceDN w:val="0"/>
        <w:adjustRightInd w:val="0"/>
        <w:spacing w:line="420" w:lineRule="exact"/>
        <w:rPr>
          <w:rFonts w:ascii="宋体" w:hAnsi="宋体" w:cs="宋体"/>
          <w:color w:val="auto"/>
          <w:kern w:val="0"/>
          <w:sz w:val="44"/>
          <w:highlight w:val="none"/>
        </w:rPr>
      </w:pPr>
    </w:p>
    <w:p w14:paraId="40E132E5">
      <w:pPr>
        <w:autoSpaceDE w:val="0"/>
        <w:autoSpaceDN w:val="0"/>
        <w:adjustRightInd w:val="0"/>
        <w:spacing w:line="420" w:lineRule="exact"/>
        <w:rPr>
          <w:rFonts w:ascii="宋体" w:hAnsi="宋体" w:cs="宋体"/>
          <w:color w:val="auto"/>
          <w:kern w:val="0"/>
          <w:sz w:val="44"/>
          <w:highlight w:val="none"/>
        </w:rPr>
      </w:pPr>
    </w:p>
    <w:p w14:paraId="101BC427">
      <w:pPr>
        <w:autoSpaceDE w:val="0"/>
        <w:autoSpaceDN w:val="0"/>
        <w:adjustRightInd w:val="0"/>
        <w:spacing w:line="420" w:lineRule="exact"/>
        <w:jc w:val="center"/>
        <w:rPr>
          <w:rFonts w:ascii="宋体" w:hAnsi="宋体" w:cs="宋体"/>
          <w:color w:val="auto"/>
          <w:kern w:val="0"/>
          <w:sz w:val="44"/>
          <w:highlight w:val="none"/>
        </w:rPr>
      </w:pPr>
    </w:p>
    <w:p w14:paraId="7BBA1C5B">
      <w:pPr>
        <w:pStyle w:val="19"/>
        <w:rPr>
          <w:rFonts w:ascii="宋体" w:hAnsi="宋体" w:cs="宋体"/>
          <w:color w:val="auto"/>
          <w:kern w:val="0"/>
          <w:sz w:val="44"/>
          <w:highlight w:val="none"/>
        </w:rPr>
      </w:pPr>
    </w:p>
    <w:p w14:paraId="25447172">
      <w:pPr>
        <w:rPr>
          <w:color w:val="auto"/>
          <w:highlight w:val="none"/>
        </w:rPr>
      </w:pPr>
    </w:p>
    <w:p w14:paraId="14030EDA">
      <w:pPr>
        <w:pStyle w:val="22"/>
        <w:spacing w:line="420" w:lineRule="exact"/>
        <w:jc w:val="center"/>
        <w:rPr>
          <w:rFonts w:hAnsi="宋体" w:cs="宋体"/>
          <w:color w:val="auto"/>
          <w:sz w:val="23"/>
          <w:highlight w:val="none"/>
          <w:u w:val="single"/>
        </w:rPr>
      </w:pPr>
    </w:p>
    <w:p w14:paraId="191253C1">
      <w:pPr>
        <w:pStyle w:val="22"/>
        <w:spacing w:line="420" w:lineRule="exact"/>
        <w:ind w:firstLine="1840" w:firstLineChars="800"/>
        <w:rPr>
          <w:rFonts w:hAnsi="宋体" w:cs="宋体"/>
          <w:color w:val="auto"/>
          <w:sz w:val="23"/>
          <w:highlight w:val="none"/>
          <w:u w:val="single"/>
        </w:rPr>
      </w:pPr>
      <w:r>
        <w:rPr>
          <w:rFonts w:hint="eastAsia" w:hAnsi="宋体" w:cs="宋体"/>
          <w:color w:val="auto"/>
          <w:sz w:val="23"/>
          <w:highlight w:val="none"/>
        </w:rPr>
        <w:t>投标人：</w:t>
      </w:r>
      <w:r>
        <w:rPr>
          <w:rFonts w:hint="eastAsia" w:hAnsi="宋体" w:cs="宋体"/>
          <w:color w:val="auto"/>
          <w:sz w:val="23"/>
          <w:highlight w:val="none"/>
          <w:u w:val="single"/>
          <w:lang w:val="en-US" w:eastAsia="zh-CN"/>
        </w:rPr>
        <w:t xml:space="preserve">            </w:t>
      </w:r>
      <w:r>
        <w:rPr>
          <w:rFonts w:hint="eastAsia" w:hAnsi="宋体" w:cs="宋体"/>
          <w:color w:val="auto"/>
          <w:sz w:val="23"/>
          <w:highlight w:val="none"/>
          <w:u w:val="single"/>
        </w:rPr>
        <w:t>（盖单位章）</w:t>
      </w:r>
    </w:p>
    <w:p w14:paraId="58BD62BA">
      <w:pPr>
        <w:pStyle w:val="22"/>
        <w:spacing w:line="420" w:lineRule="exact"/>
        <w:ind w:firstLine="1840" w:firstLineChars="800"/>
        <w:rPr>
          <w:rFonts w:hAnsi="宋体" w:cs="宋体"/>
          <w:color w:val="auto"/>
          <w:sz w:val="23"/>
          <w:highlight w:val="none"/>
          <w:u w:val="single"/>
        </w:rPr>
      </w:pPr>
      <w:r>
        <w:rPr>
          <w:rFonts w:hint="eastAsia" w:hAnsi="宋体" w:cs="宋体"/>
          <w:color w:val="auto"/>
          <w:sz w:val="23"/>
          <w:highlight w:val="none"/>
        </w:rPr>
        <w:t>法定代表人或其委托代理人：</w:t>
      </w:r>
      <w:r>
        <w:rPr>
          <w:rFonts w:hint="eastAsia" w:hAnsi="宋体" w:cs="宋体"/>
          <w:color w:val="auto"/>
          <w:sz w:val="23"/>
          <w:highlight w:val="none"/>
          <w:u w:val="single"/>
          <w:lang w:val="en-US" w:eastAsia="zh-CN"/>
        </w:rPr>
        <w:t xml:space="preserve">              </w:t>
      </w:r>
      <w:r>
        <w:rPr>
          <w:rFonts w:hint="eastAsia" w:hAnsi="宋体" w:cs="宋体"/>
          <w:color w:val="auto"/>
          <w:sz w:val="23"/>
          <w:highlight w:val="none"/>
          <w:u w:val="single"/>
        </w:rPr>
        <w:t>（签字）</w:t>
      </w:r>
    </w:p>
    <w:p w14:paraId="1C941706">
      <w:pPr>
        <w:pStyle w:val="22"/>
        <w:spacing w:line="420" w:lineRule="exact"/>
        <w:ind w:firstLine="2415" w:firstLineChars="1050"/>
        <w:rPr>
          <w:rFonts w:hAnsi="宋体" w:cs="宋体"/>
          <w:color w:val="auto"/>
          <w:sz w:val="23"/>
          <w:highlight w:val="none"/>
          <w:u w:val="single"/>
        </w:rPr>
      </w:pPr>
      <w:r>
        <w:rPr>
          <w:rFonts w:hint="eastAsia" w:hAnsi="宋体" w:cs="宋体"/>
          <w:color w:val="auto"/>
          <w:sz w:val="23"/>
          <w:highlight w:val="none"/>
        </w:rPr>
        <w:t>年   月   日</w:t>
      </w:r>
    </w:p>
    <w:p w14:paraId="00881DF0">
      <w:pPr>
        <w:autoSpaceDE w:val="0"/>
        <w:autoSpaceDN w:val="0"/>
        <w:adjustRightInd w:val="0"/>
        <w:spacing w:line="420" w:lineRule="exact"/>
        <w:ind w:firstLine="2800" w:firstLineChars="1000"/>
        <w:jc w:val="left"/>
        <w:rPr>
          <w:rFonts w:ascii="宋体" w:hAnsi="宋体" w:cs="宋体"/>
          <w:color w:val="auto"/>
          <w:kern w:val="0"/>
          <w:sz w:val="28"/>
          <w:highlight w:val="none"/>
        </w:rPr>
      </w:pPr>
    </w:p>
    <w:p w14:paraId="6C4DB68F">
      <w:pPr>
        <w:rPr>
          <w:rFonts w:hint="eastAsia" w:ascii="宋体" w:hAnsi="宋体" w:cs="宋体"/>
          <w:b/>
          <w:color w:val="auto"/>
          <w:kern w:val="0"/>
          <w:sz w:val="32"/>
          <w:highlight w:val="none"/>
        </w:rPr>
      </w:pPr>
      <w:bookmarkStart w:id="304" w:name="_Toc228591601"/>
      <w:bookmarkStart w:id="305" w:name="_Toc228881241"/>
      <w:bookmarkStart w:id="306" w:name="_Toc214433981"/>
      <w:bookmarkStart w:id="307" w:name="_Toc228337190"/>
      <w:bookmarkStart w:id="308" w:name="_Toc228589255"/>
      <w:bookmarkStart w:id="309" w:name="_Toc228591749"/>
      <w:bookmarkStart w:id="310" w:name="_Toc227492337"/>
      <w:bookmarkStart w:id="311" w:name="_Toc286251944"/>
      <w:bookmarkStart w:id="312" w:name="_Toc302986287"/>
      <w:bookmarkStart w:id="313" w:name="_Toc302402793"/>
      <w:bookmarkStart w:id="314" w:name="_Toc227657579"/>
      <w:r>
        <w:rPr>
          <w:rFonts w:hint="eastAsia" w:ascii="宋体" w:hAnsi="宋体" w:cs="宋体"/>
          <w:b/>
          <w:color w:val="auto"/>
          <w:kern w:val="0"/>
          <w:sz w:val="32"/>
          <w:highlight w:val="none"/>
        </w:rPr>
        <w:br w:type="page"/>
      </w:r>
    </w:p>
    <w:p w14:paraId="24EF10E7">
      <w:pPr>
        <w:autoSpaceDE w:val="0"/>
        <w:autoSpaceDN w:val="0"/>
        <w:adjustRightInd w:val="0"/>
        <w:spacing w:line="420" w:lineRule="exact"/>
        <w:jc w:val="center"/>
        <w:outlineLvl w:val="0"/>
        <w:rPr>
          <w:rFonts w:ascii="宋体" w:hAnsi="宋体" w:cs="宋体"/>
          <w:b/>
          <w:color w:val="auto"/>
          <w:kern w:val="0"/>
          <w:sz w:val="32"/>
          <w:highlight w:val="none"/>
        </w:rPr>
      </w:pPr>
      <w:bookmarkStart w:id="315" w:name="_Toc29035"/>
      <w:r>
        <w:rPr>
          <w:rFonts w:hint="eastAsia" w:ascii="宋体" w:hAnsi="宋体" w:cs="宋体"/>
          <w:b/>
          <w:color w:val="auto"/>
          <w:kern w:val="0"/>
          <w:sz w:val="32"/>
          <w:highlight w:val="none"/>
        </w:rPr>
        <w:t>目    录</w:t>
      </w:r>
      <w:bookmarkEnd w:id="304"/>
      <w:bookmarkEnd w:id="305"/>
      <w:bookmarkEnd w:id="306"/>
      <w:bookmarkEnd w:id="307"/>
      <w:bookmarkEnd w:id="308"/>
      <w:bookmarkEnd w:id="309"/>
      <w:bookmarkEnd w:id="310"/>
      <w:bookmarkEnd w:id="311"/>
      <w:bookmarkEnd w:id="312"/>
      <w:bookmarkEnd w:id="313"/>
      <w:bookmarkEnd w:id="314"/>
      <w:bookmarkEnd w:id="315"/>
    </w:p>
    <w:p w14:paraId="677FFE16">
      <w:pPr>
        <w:autoSpaceDE w:val="0"/>
        <w:autoSpaceDN w:val="0"/>
        <w:adjustRightInd w:val="0"/>
        <w:spacing w:line="420" w:lineRule="exact"/>
        <w:jc w:val="center"/>
        <w:rPr>
          <w:rFonts w:ascii="宋体" w:hAnsi="宋体" w:cs="宋体"/>
          <w:color w:val="auto"/>
          <w:kern w:val="0"/>
          <w:sz w:val="28"/>
          <w:highlight w:val="none"/>
        </w:rPr>
      </w:pPr>
    </w:p>
    <w:p w14:paraId="6F8D78AF">
      <w:pPr>
        <w:autoSpaceDE w:val="0"/>
        <w:autoSpaceDN w:val="0"/>
        <w:adjustRightInd w:val="0"/>
        <w:spacing w:line="420" w:lineRule="exact"/>
        <w:jc w:val="center"/>
        <w:rPr>
          <w:rFonts w:ascii="宋体" w:hAnsi="宋体" w:cs="宋体"/>
          <w:color w:val="auto"/>
          <w:kern w:val="0"/>
          <w:sz w:val="28"/>
          <w:highlight w:val="none"/>
        </w:rPr>
      </w:pPr>
    </w:p>
    <w:p w14:paraId="65BC0AFB">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一、投标函及投标函附录</w:t>
      </w:r>
    </w:p>
    <w:p w14:paraId="666BCD5E">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二、法定代表人身份证明</w:t>
      </w:r>
    </w:p>
    <w:p w14:paraId="1EB6046E">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三、授权委托书</w:t>
      </w:r>
    </w:p>
    <w:p w14:paraId="7F415831">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四、投标保证金</w:t>
      </w:r>
    </w:p>
    <w:p w14:paraId="3F0693D8">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五、资格审查资料</w:t>
      </w:r>
    </w:p>
    <w:p w14:paraId="0B519893">
      <w:pPr>
        <w:autoSpaceDE w:val="0"/>
        <w:autoSpaceDN w:val="0"/>
        <w:adjustRightInd w:val="0"/>
        <w:spacing w:line="420" w:lineRule="exact"/>
        <w:ind w:firstLine="1619" w:firstLineChars="771"/>
        <w:jc w:val="left"/>
        <w:rPr>
          <w:rFonts w:ascii="宋体" w:hAnsi="宋体" w:cs="宋体"/>
          <w:color w:val="auto"/>
          <w:kern w:val="0"/>
          <w:highlight w:val="none"/>
        </w:rPr>
      </w:pPr>
      <w:r>
        <w:rPr>
          <w:rFonts w:hint="eastAsia" w:ascii="宋体" w:hAnsi="宋体" w:cs="宋体"/>
          <w:color w:val="auto"/>
          <w:kern w:val="0"/>
          <w:highlight w:val="none"/>
        </w:rPr>
        <w:t>六、已标价工程量清单</w:t>
      </w:r>
    </w:p>
    <w:p w14:paraId="6B19540C">
      <w:pPr>
        <w:autoSpaceDE w:val="0"/>
        <w:autoSpaceDN w:val="0"/>
        <w:adjustRightInd w:val="0"/>
        <w:spacing w:line="420" w:lineRule="exact"/>
        <w:ind w:firstLine="1619" w:firstLineChars="771"/>
        <w:jc w:val="left"/>
        <w:rPr>
          <w:rFonts w:ascii="宋体" w:hAnsi="宋体" w:cs="宋体"/>
          <w:color w:val="auto"/>
          <w:kern w:val="0"/>
          <w:highlight w:val="none"/>
        </w:rPr>
      </w:pPr>
    </w:p>
    <w:p w14:paraId="7D537B33">
      <w:pPr>
        <w:autoSpaceDE w:val="0"/>
        <w:autoSpaceDN w:val="0"/>
        <w:adjustRightInd w:val="0"/>
        <w:spacing w:line="420" w:lineRule="exact"/>
        <w:ind w:firstLine="1619" w:firstLineChars="771"/>
        <w:jc w:val="left"/>
        <w:rPr>
          <w:rFonts w:ascii="宋体" w:hAnsi="宋体" w:cs="宋体"/>
          <w:color w:val="auto"/>
          <w:kern w:val="0"/>
          <w:highlight w:val="none"/>
        </w:rPr>
      </w:pPr>
    </w:p>
    <w:p w14:paraId="3CABCF0D">
      <w:pPr>
        <w:autoSpaceDE w:val="0"/>
        <w:autoSpaceDN w:val="0"/>
        <w:adjustRightInd w:val="0"/>
        <w:spacing w:line="420" w:lineRule="exact"/>
        <w:ind w:firstLine="1619" w:firstLineChars="771"/>
        <w:jc w:val="left"/>
        <w:rPr>
          <w:rFonts w:ascii="宋体" w:hAnsi="宋体" w:cs="宋体"/>
          <w:color w:val="auto"/>
          <w:kern w:val="0"/>
          <w:highlight w:val="none"/>
        </w:rPr>
      </w:pPr>
    </w:p>
    <w:p w14:paraId="2516C6D1">
      <w:pPr>
        <w:autoSpaceDE w:val="0"/>
        <w:autoSpaceDN w:val="0"/>
        <w:adjustRightInd w:val="0"/>
        <w:spacing w:line="420" w:lineRule="exact"/>
        <w:ind w:firstLine="1619" w:firstLineChars="771"/>
        <w:jc w:val="left"/>
        <w:rPr>
          <w:rFonts w:ascii="宋体" w:hAnsi="宋体" w:cs="宋体"/>
          <w:color w:val="auto"/>
          <w:kern w:val="0"/>
          <w:highlight w:val="none"/>
        </w:rPr>
      </w:pPr>
    </w:p>
    <w:p w14:paraId="0E924803">
      <w:pPr>
        <w:autoSpaceDE w:val="0"/>
        <w:autoSpaceDN w:val="0"/>
        <w:adjustRightInd w:val="0"/>
        <w:spacing w:line="420" w:lineRule="exact"/>
        <w:ind w:firstLine="1619" w:firstLineChars="771"/>
        <w:jc w:val="left"/>
        <w:rPr>
          <w:rFonts w:ascii="宋体" w:hAnsi="宋体" w:cs="宋体"/>
          <w:color w:val="auto"/>
          <w:kern w:val="0"/>
          <w:highlight w:val="none"/>
        </w:rPr>
      </w:pPr>
    </w:p>
    <w:p w14:paraId="61CF604C">
      <w:pPr>
        <w:autoSpaceDE w:val="0"/>
        <w:autoSpaceDN w:val="0"/>
        <w:adjustRightInd w:val="0"/>
        <w:spacing w:line="420" w:lineRule="exact"/>
        <w:ind w:firstLine="1619" w:firstLineChars="771"/>
        <w:jc w:val="left"/>
        <w:rPr>
          <w:rFonts w:ascii="宋体" w:hAnsi="宋体" w:cs="宋体"/>
          <w:color w:val="auto"/>
          <w:kern w:val="0"/>
          <w:highlight w:val="none"/>
        </w:rPr>
      </w:pPr>
    </w:p>
    <w:p w14:paraId="3A298B5B">
      <w:pPr>
        <w:autoSpaceDE w:val="0"/>
        <w:autoSpaceDN w:val="0"/>
        <w:adjustRightInd w:val="0"/>
        <w:spacing w:line="420" w:lineRule="exact"/>
        <w:ind w:firstLine="1619" w:firstLineChars="771"/>
        <w:jc w:val="left"/>
        <w:rPr>
          <w:rFonts w:ascii="宋体" w:hAnsi="宋体" w:cs="宋体"/>
          <w:color w:val="auto"/>
          <w:kern w:val="0"/>
          <w:highlight w:val="none"/>
        </w:rPr>
      </w:pPr>
    </w:p>
    <w:p w14:paraId="45F5FC29">
      <w:pPr>
        <w:autoSpaceDE w:val="0"/>
        <w:autoSpaceDN w:val="0"/>
        <w:adjustRightInd w:val="0"/>
        <w:spacing w:line="420" w:lineRule="exact"/>
        <w:ind w:firstLine="1619" w:firstLineChars="771"/>
        <w:jc w:val="left"/>
        <w:rPr>
          <w:rFonts w:ascii="宋体" w:hAnsi="宋体" w:cs="宋体"/>
          <w:color w:val="auto"/>
          <w:kern w:val="0"/>
          <w:highlight w:val="none"/>
        </w:rPr>
      </w:pPr>
    </w:p>
    <w:p w14:paraId="766637A3">
      <w:pPr>
        <w:autoSpaceDE w:val="0"/>
        <w:autoSpaceDN w:val="0"/>
        <w:adjustRightInd w:val="0"/>
        <w:spacing w:line="420" w:lineRule="exact"/>
        <w:ind w:firstLine="1619" w:firstLineChars="771"/>
        <w:jc w:val="left"/>
        <w:rPr>
          <w:rFonts w:ascii="宋体" w:hAnsi="宋体" w:cs="宋体"/>
          <w:color w:val="auto"/>
          <w:kern w:val="0"/>
          <w:highlight w:val="none"/>
        </w:rPr>
      </w:pPr>
    </w:p>
    <w:p w14:paraId="374762FD">
      <w:pPr>
        <w:autoSpaceDE w:val="0"/>
        <w:autoSpaceDN w:val="0"/>
        <w:adjustRightInd w:val="0"/>
        <w:spacing w:line="420" w:lineRule="exact"/>
        <w:ind w:firstLine="1619" w:firstLineChars="771"/>
        <w:jc w:val="left"/>
        <w:rPr>
          <w:rFonts w:ascii="宋体" w:hAnsi="宋体" w:cs="宋体"/>
          <w:color w:val="auto"/>
          <w:kern w:val="0"/>
          <w:highlight w:val="none"/>
        </w:rPr>
      </w:pPr>
    </w:p>
    <w:p w14:paraId="28AC2B56">
      <w:pPr>
        <w:autoSpaceDE w:val="0"/>
        <w:autoSpaceDN w:val="0"/>
        <w:adjustRightInd w:val="0"/>
        <w:spacing w:line="420" w:lineRule="exact"/>
        <w:ind w:firstLine="1619" w:firstLineChars="771"/>
        <w:jc w:val="left"/>
        <w:rPr>
          <w:rFonts w:ascii="宋体" w:hAnsi="宋体" w:cs="宋体"/>
          <w:color w:val="auto"/>
          <w:kern w:val="0"/>
          <w:highlight w:val="none"/>
        </w:rPr>
      </w:pPr>
    </w:p>
    <w:p w14:paraId="30CAFA87">
      <w:pPr>
        <w:autoSpaceDE w:val="0"/>
        <w:autoSpaceDN w:val="0"/>
        <w:adjustRightInd w:val="0"/>
        <w:spacing w:line="420" w:lineRule="exact"/>
        <w:outlineLvl w:val="9"/>
        <w:rPr>
          <w:rFonts w:ascii="宋体" w:hAnsi="宋体" w:cs="宋体"/>
          <w:b/>
          <w:color w:val="auto"/>
          <w:kern w:val="0"/>
          <w:sz w:val="32"/>
          <w:highlight w:val="none"/>
        </w:rPr>
      </w:pPr>
      <w:bookmarkStart w:id="316" w:name="_Toc214433982"/>
      <w:bookmarkStart w:id="317" w:name="_Toc227492338"/>
      <w:bookmarkStart w:id="318" w:name="_Toc227657580"/>
    </w:p>
    <w:p w14:paraId="7336F732">
      <w:pPr>
        <w:autoSpaceDE w:val="0"/>
        <w:autoSpaceDN w:val="0"/>
        <w:adjustRightInd w:val="0"/>
        <w:spacing w:line="420" w:lineRule="exact"/>
        <w:outlineLvl w:val="9"/>
        <w:rPr>
          <w:rFonts w:ascii="宋体" w:hAnsi="宋体" w:cs="宋体"/>
          <w:b/>
          <w:color w:val="auto"/>
          <w:kern w:val="0"/>
          <w:sz w:val="32"/>
          <w:highlight w:val="none"/>
        </w:rPr>
      </w:pPr>
    </w:p>
    <w:p w14:paraId="397581F4">
      <w:pPr>
        <w:autoSpaceDE w:val="0"/>
        <w:autoSpaceDN w:val="0"/>
        <w:adjustRightInd w:val="0"/>
        <w:spacing w:line="420" w:lineRule="exact"/>
        <w:jc w:val="center"/>
        <w:outlineLvl w:val="9"/>
        <w:rPr>
          <w:rFonts w:ascii="宋体" w:hAnsi="宋体" w:cs="宋体"/>
          <w:b/>
          <w:color w:val="auto"/>
          <w:kern w:val="0"/>
          <w:sz w:val="32"/>
          <w:highlight w:val="none"/>
        </w:rPr>
      </w:pPr>
      <w:bookmarkStart w:id="319" w:name="_Toc228591602"/>
      <w:bookmarkStart w:id="320" w:name="_Toc228591750"/>
      <w:bookmarkStart w:id="321" w:name="_Toc228589256"/>
      <w:bookmarkStart w:id="322" w:name="_Toc228337191"/>
    </w:p>
    <w:p w14:paraId="064F7F61">
      <w:pPr>
        <w:autoSpaceDE w:val="0"/>
        <w:autoSpaceDN w:val="0"/>
        <w:adjustRightInd w:val="0"/>
        <w:spacing w:line="420" w:lineRule="exact"/>
        <w:jc w:val="center"/>
        <w:outlineLvl w:val="9"/>
        <w:rPr>
          <w:rFonts w:ascii="宋体" w:hAnsi="宋体" w:cs="宋体"/>
          <w:b/>
          <w:color w:val="auto"/>
          <w:kern w:val="0"/>
          <w:sz w:val="32"/>
          <w:highlight w:val="none"/>
        </w:rPr>
      </w:pPr>
    </w:p>
    <w:p w14:paraId="17E23403">
      <w:pPr>
        <w:autoSpaceDE w:val="0"/>
        <w:autoSpaceDN w:val="0"/>
        <w:adjustRightInd w:val="0"/>
        <w:spacing w:line="420" w:lineRule="exact"/>
        <w:jc w:val="center"/>
        <w:outlineLvl w:val="9"/>
        <w:rPr>
          <w:rFonts w:ascii="宋体" w:hAnsi="宋体" w:cs="宋体"/>
          <w:b/>
          <w:color w:val="auto"/>
          <w:kern w:val="0"/>
          <w:sz w:val="32"/>
          <w:highlight w:val="none"/>
        </w:rPr>
      </w:pPr>
    </w:p>
    <w:p w14:paraId="407C9357">
      <w:pPr>
        <w:autoSpaceDE w:val="0"/>
        <w:autoSpaceDN w:val="0"/>
        <w:adjustRightInd w:val="0"/>
        <w:spacing w:line="420" w:lineRule="exact"/>
        <w:jc w:val="center"/>
        <w:outlineLvl w:val="9"/>
        <w:rPr>
          <w:rFonts w:ascii="宋体" w:hAnsi="宋体" w:cs="宋体"/>
          <w:b/>
          <w:color w:val="auto"/>
          <w:kern w:val="0"/>
          <w:sz w:val="32"/>
          <w:highlight w:val="none"/>
        </w:rPr>
      </w:pPr>
    </w:p>
    <w:p w14:paraId="65082A8E">
      <w:pPr>
        <w:autoSpaceDE w:val="0"/>
        <w:autoSpaceDN w:val="0"/>
        <w:adjustRightInd w:val="0"/>
        <w:spacing w:line="420" w:lineRule="exact"/>
        <w:jc w:val="center"/>
        <w:outlineLvl w:val="9"/>
        <w:rPr>
          <w:rFonts w:ascii="宋体" w:hAnsi="宋体" w:cs="宋体"/>
          <w:b/>
          <w:color w:val="auto"/>
          <w:kern w:val="0"/>
          <w:sz w:val="32"/>
          <w:highlight w:val="none"/>
        </w:rPr>
      </w:pPr>
    </w:p>
    <w:p w14:paraId="34C80135">
      <w:pPr>
        <w:autoSpaceDE w:val="0"/>
        <w:autoSpaceDN w:val="0"/>
        <w:adjustRightInd w:val="0"/>
        <w:spacing w:line="420" w:lineRule="exact"/>
        <w:jc w:val="center"/>
        <w:outlineLvl w:val="9"/>
        <w:rPr>
          <w:rFonts w:ascii="宋体" w:hAnsi="宋体" w:cs="宋体"/>
          <w:b/>
          <w:color w:val="auto"/>
          <w:kern w:val="0"/>
          <w:sz w:val="32"/>
          <w:highlight w:val="none"/>
        </w:rPr>
      </w:pPr>
    </w:p>
    <w:p w14:paraId="3FAF74EA">
      <w:pPr>
        <w:autoSpaceDE w:val="0"/>
        <w:autoSpaceDN w:val="0"/>
        <w:adjustRightInd w:val="0"/>
        <w:spacing w:line="420" w:lineRule="exact"/>
        <w:jc w:val="center"/>
        <w:outlineLvl w:val="9"/>
        <w:rPr>
          <w:rFonts w:ascii="宋体" w:hAnsi="宋体" w:cs="宋体"/>
          <w:b/>
          <w:color w:val="auto"/>
          <w:kern w:val="0"/>
          <w:sz w:val="32"/>
          <w:highlight w:val="none"/>
        </w:rPr>
      </w:pPr>
    </w:p>
    <w:p w14:paraId="4A25E4DE">
      <w:pPr>
        <w:autoSpaceDE w:val="0"/>
        <w:autoSpaceDN w:val="0"/>
        <w:adjustRightInd w:val="0"/>
        <w:spacing w:line="420" w:lineRule="exact"/>
        <w:jc w:val="center"/>
        <w:outlineLvl w:val="9"/>
        <w:rPr>
          <w:rFonts w:ascii="宋体" w:hAnsi="宋体" w:cs="宋体"/>
          <w:b/>
          <w:color w:val="auto"/>
          <w:kern w:val="0"/>
          <w:sz w:val="32"/>
          <w:highlight w:val="none"/>
        </w:rPr>
      </w:pPr>
    </w:p>
    <w:p w14:paraId="5466072C">
      <w:pPr>
        <w:rPr>
          <w:rFonts w:hint="eastAsia" w:ascii="宋体" w:hAnsi="宋体" w:eastAsia="宋体" w:cs="宋体"/>
          <w:b/>
          <w:color w:val="auto"/>
          <w:kern w:val="0"/>
          <w:sz w:val="32"/>
          <w:highlight w:val="none"/>
        </w:rPr>
      </w:pPr>
      <w:bookmarkStart w:id="323" w:name="_Toc302402794"/>
      <w:bookmarkStart w:id="324" w:name="_Toc302986288"/>
      <w:bookmarkStart w:id="325" w:name="_Toc228881242"/>
      <w:bookmarkStart w:id="326" w:name="_Toc286251945"/>
      <w:r>
        <w:rPr>
          <w:rFonts w:hint="eastAsia" w:ascii="宋体" w:hAnsi="宋体" w:eastAsia="宋体" w:cs="宋体"/>
          <w:b/>
          <w:color w:val="auto"/>
          <w:kern w:val="0"/>
          <w:sz w:val="32"/>
          <w:highlight w:val="none"/>
        </w:rPr>
        <w:br w:type="page"/>
      </w:r>
    </w:p>
    <w:p w14:paraId="3E25F699">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一、投标函及投标函附录</w:t>
      </w:r>
      <w:bookmarkEnd w:id="316"/>
      <w:bookmarkEnd w:id="317"/>
      <w:bookmarkEnd w:id="318"/>
      <w:bookmarkEnd w:id="319"/>
      <w:bookmarkEnd w:id="320"/>
      <w:bookmarkEnd w:id="321"/>
      <w:bookmarkEnd w:id="322"/>
      <w:bookmarkEnd w:id="323"/>
      <w:bookmarkEnd w:id="324"/>
      <w:bookmarkEnd w:id="325"/>
      <w:bookmarkEnd w:id="326"/>
    </w:p>
    <w:p w14:paraId="62C088D8">
      <w:pPr>
        <w:autoSpaceDE w:val="0"/>
        <w:autoSpaceDN w:val="0"/>
        <w:adjustRightInd w:val="0"/>
        <w:spacing w:line="420" w:lineRule="exact"/>
        <w:jc w:val="center"/>
        <w:outlineLvl w:val="9"/>
        <w:rPr>
          <w:rFonts w:ascii="宋体" w:hAnsi="宋体" w:cs="宋体"/>
          <w:b/>
          <w:color w:val="auto"/>
          <w:kern w:val="0"/>
          <w:sz w:val="32"/>
          <w:highlight w:val="none"/>
        </w:rPr>
      </w:pPr>
    </w:p>
    <w:p w14:paraId="6666F850">
      <w:pPr>
        <w:autoSpaceDE w:val="0"/>
        <w:autoSpaceDN w:val="0"/>
        <w:adjustRightInd w:val="0"/>
        <w:spacing w:line="420" w:lineRule="exact"/>
        <w:jc w:val="center"/>
        <w:outlineLvl w:val="0"/>
        <w:rPr>
          <w:rFonts w:ascii="宋体" w:hAnsi="宋体" w:cs="宋体"/>
          <w:b/>
          <w:color w:val="auto"/>
          <w:kern w:val="0"/>
          <w:sz w:val="24"/>
          <w:highlight w:val="none"/>
        </w:rPr>
      </w:pPr>
      <w:bookmarkStart w:id="327" w:name="_Toc214433983"/>
      <w:bookmarkStart w:id="328" w:name="_Toc227657581"/>
      <w:bookmarkStart w:id="329" w:name="_Toc19343"/>
      <w:bookmarkStart w:id="330" w:name="_Toc228337192"/>
      <w:bookmarkStart w:id="331" w:name="_Toc228881243"/>
      <w:bookmarkStart w:id="332" w:name="_Toc286251946"/>
      <w:bookmarkStart w:id="333" w:name="_Toc227492339"/>
      <w:bookmarkStart w:id="334" w:name="_Toc302402795"/>
      <w:bookmarkStart w:id="335" w:name="_Toc228591751"/>
      <w:bookmarkStart w:id="336" w:name="_Toc228591603"/>
      <w:bookmarkStart w:id="337" w:name="_Toc302986289"/>
      <w:bookmarkStart w:id="338" w:name="_Toc228589257"/>
      <w:r>
        <w:rPr>
          <w:rFonts w:hint="eastAsia" w:ascii="宋体" w:hAnsi="宋体" w:cs="宋体"/>
          <w:b/>
          <w:color w:val="auto"/>
          <w:kern w:val="0"/>
          <w:sz w:val="24"/>
          <w:highlight w:val="none"/>
        </w:rPr>
        <w:t>（一）投 标 函</w:t>
      </w:r>
      <w:bookmarkEnd w:id="327"/>
      <w:bookmarkEnd w:id="328"/>
      <w:bookmarkEnd w:id="329"/>
      <w:bookmarkEnd w:id="330"/>
      <w:bookmarkEnd w:id="331"/>
      <w:bookmarkEnd w:id="332"/>
      <w:bookmarkEnd w:id="333"/>
      <w:bookmarkEnd w:id="334"/>
      <w:bookmarkEnd w:id="335"/>
      <w:bookmarkEnd w:id="336"/>
      <w:bookmarkEnd w:id="337"/>
      <w:bookmarkEnd w:id="338"/>
    </w:p>
    <w:p w14:paraId="6EF5A4EA">
      <w:pPr>
        <w:autoSpaceDE w:val="0"/>
        <w:autoSpaceDN w:val="0"/>
        <w:adjustRightInd w:val="0"/>
        <w:spacing w:line="420" w:lineRule="exact"/>
        <w:jc w:val="left"/>
        <w:rPr>
          <w:rFonts w:ascii="宋体" w:hAnsi="宋体" w:cs="宋体"/>
          <w:color w:val="auto"/>
          <w:kern w:val="0"/>
          <w:sz w:val="24"/>
          <w:highlight w:val="none"/>
        </w:rPr>
      </w:pPr>
    </w:p>
    <w:p w14:paraId="223E3272">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（招标人名称）：</w:t>
      </w:r>
    </w:p>
    <w:p w14:paraId="2E5DF213">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1．我方已仔细研究了</w:t>
      </w:r>
      <w:r>
        <w:rPr>
          <w:rFonts w:hint="eastAsia" w:ascii="宋体" w:hAnsi="宋体" w:cs="宋体"/>
          <w:color w:val="auto"/>
          <w:kern w:val="0"/>
          <w:highlight w:val="none"/>
          <w:u w:val="single"/>
        </w:rPr>
        <w:t>（项目名称）</w:t>
      </w:r>
      <w:r>
        <w:rPr>
          <w:rFonts w:hint="eastAsia" w:ascii="宋体" w:hAnsi="宋体" w:cs="宋体"/>
          <w:color w:val="auto"/>
          <w:kern w:val="0"/>
          <w:highlight w:val="none"/>
        </w:rPr>
        <w:t>施工招标文件的全部内容，愿意以人民币（大写）</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w:t>
      </w:r>
      <w:r>
        <w:rPr>
          <w:rFonts w:hint="eastAsia" w:ascii="宋体" w:hAnsi="宋体" w:cs="宋体"/>
          <w:color w:val="auto"/>
          <w:kern w:val="0"/>
          <w:highlight w:val="none"/>
          <w:u w:val="single"/>
          <w:lang w:val="en-US" w:eastAsia="zh-CN"/>
        </w:rPr>
        <w:t xml:space="preserve">             元</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）的投标总报价，工期</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日历天，按合同约定实施和完成承包工程，修补工程中的任何缺陷，工程质量达到</w:t>
      </w:r>
      <w:r>
        <w:rPr>
          <w:rFonts w:hint="eastAsia" w:ascii="宋体" w:hAnsi="宋体" w:cs="宋体"/>
          <w:color w:val="auto"/>
          <w:kern w:val="0"/>
          <w:highlight w:val="none"/>
          <w:u w:val="single"/>
        </w:rPr>
        <w:t xml:space="preserve">      </w:t>
      </w:r>
      <w:r>
        <w:rPr>
          <w:rFonts w:hint="eastAsia" w:ascii="宋体" w:hAnsi="宋体" w:cs="宋体"/>
          <w:color w:val="auto"/>
          <w:kern w:val="0"/>
          <w:highlight w:val="none"/>
        </w:rPr>
        <w:t>标准。</w:t>
      </w:r>
    </w:p>
    <w:p w14:paraId="1DDA222E">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2．我方承诺在投标有效期内不修改、撤销投标文件。</w:t>
      </w:r>
    </w:p>
    <w:p w14:paraId="685B05D3">
      <w:pPr>
        <w:autoSpaceDE w:val="0"/>
        <w:autoSpaceDN w:val="0"/>
        <w:adjustRightInd w:val="0"/>
        <w:spacing w:line="420" w:lineRule="exact"/>
        <w:ind w:firstLine="539" w:firstLineChars="257"/>
        <w:jc w:val="left"/>
        <w:rPr>
          <w:rFonts w:hint="eastAsia" w:ascii="宋体" w:hAnsi="宋体" w:eastAsia="宋体" w:cs="宋体"/>
          <w:color w:val="auto"/>
          <w:kern w:val="0"/>
          <w:highlight w:val="none"/>
          <w:lang w:eastAsia="zh-CN"/>
        </w:rPr>
      </w:pPr>
      <w:r>
        <w:rPr>
          <w:rFonts w:hint="eastAsia" w:ascii="宋体" w:hAnsi="宋体" w:cs="宋体"/>
          <w:color w:val="auto"/>
          <w:kern w:val="0"/>
          <w:highlight w:val="none"/>
        </w:rPr>
        <w:t>3．随同本投标函提交投标保证金一份，金额为人民币（大写）</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元（¥</w:t>
      </w:r>
      <w:r>
        <w:rPr>
          <w:rFonts w:hint="eastAsia" w:ascii="宋体" w:hAnsi="宋体" w:cs="宋体"/>
          <w:color w:val="auto"/>
          <w:kern w:val="0"/>
          <w:highlight w:val="none"/>
          <w:u w:val="single"/>
          <w:lang w:val="en-US" w:eastAsia="zh-CN"/>
        </w:rPr>
        <w:t xml:space="preserve">        </w:t>
      </w:r>
      <w:r>
        <w:rPr>
          <w:rFonts w:hint="eastAsia" w:ascii="宋体" w:hAnsi="宋体" w:cs="宋体"/>
          <w:color w:val="auto"/>
          <w:kern w:val="0"/>
          <w:highlight w:val="none"/>
        </w:rPr>
        <w:t>）</w:t>
      </w:r>
      <w:r>
        <w:rPr>
          <w:rFonts w:hint="eastAsia" w:ascii="宋体" w:hAnsi="宋体" w:cs="宋体"/>
          <w:color w:val="auto"/>
          <w:kern w:val="0"/>
          <w:highlight w:val="none"/>
          <w:lang w:eastAsia="zh-CN"/>
        </w:rPr>
        <w:t>。</w:t>
      </w:r>
    </w:p>
    <w:p w14:paraId="7BD815A8">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4．如我方中标：</w:t>
      </w:r>
    </w:p>
    <w:p w14:paraId="0A3D94D9">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（1）我方承诺在收到中标通知书后，在中标通知书规定的期限内与你方签订合同。</w:t>
      </w:r>
    </w:p>
    <w:p w14:paraId="233EDF56">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（2）随同本投标函递交的投标函附录属于合同文件的组成部分。</w:t>
      </w:r>
    </w:p>
    <w:p w14:paraId="22AB50F4">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（3）我方承诺按照招标文件规定向你方递交履约担保。</w:t>
      </w:r>
    </w:p>
    <w:p w14:paraId="54F4581C">
      <w:pPr>
        <w:autoSpaceDE w:val="0"/>
        <w:autoSpaceDN w:val="0"/>
        <w:adjustRightInd w:val="0"/>
        <w:spacing w:line="420" w:lineRule="exact"/>
        <w:ind w:firstLine="898" w:firstLineChars="428"/>
        <w:jc w:val="left"/>
        <w:rPr>
          <w:rFonts w:ascii="宋体" w:hAnsi="宋体" w:cs="宋体"/>
          <w:color w:val="auto"/>
          <w:kern w:val="0"/>
          <w:highlight w:val="none"/>
        </w:rPr>
      </w:pPr>
      <w:r>
        <w:rPr>
          <w:rFonts w:hint="eastAsia" w:ascii="宋体" w:hAnsi="宋体" w:cs="宋体"/>
          <w:color w:val="auto"/>
          <w:kern w:val="0"/>
          <w:highlight w:val="none"/>
        </w:rPr>
        <w:t>（4）我方承诺在合同约定的期限内完成并移交全部合同工程。</w:t>
      </w:r>
    </w:p>
    <w:p w14:paraId="4F4AF65E">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5．我方在此声明，所递交的投标文件及有关资料内容完整、真实和准确，且不存在第二章“投标人须知”第1.4.3 项规定的任何一种情形。</w:t>
      </w:r>
    </w:p>
    <w:p w14:paraId="233A8825">
      <w:pPr>
        <w:autoSpaceDE w:val="0"/>
        <w:autoSpaceDN w:val="0"/>
        <w:adjustRightInd w:val="0"/>
        <w:spacing w:line="420" w:lineRule="exact"/>
        <w:ind w:firstLine="539" w:firstLineChars="257"/>
        <w:jc w:val="left"/>
        <w:rPr>
          <w:rFonts w:ascii="宋体" w:hAnsi="宋体" w:cs="宋体"/>
          <w:color w:val="auto"/>
          <w:kern w:val="0"/>
          <w:highlight w:val="none"/>
        </w:rPr>
      </w:pPr>
      <w:r>
        <w:rPr>
          <w:rFonts w:hint="eastAsia" w:ascii="宋体" w:hAnsi="宋体" w:cs="宋体"/>
          <w:color w:val="auto"/>
          <w:kern w:val="0"/>
          <w:highlight w:val="none"/>
        </w:rPr>
        <w:t>6．（其他补充说明）。</w:t>
      </w:r>
    </w:p>
    <w:p w14:paraId="50308CE5">
      <w:pPr>
        <w:autoSpaceDE w:val="0"/>
        <w:autoSpaceDN w:val="0"/>
        <w:adjustRightInd w:val="0"/>
        <w:spacing w:line="420" w:lineRule="exact"/>
        <w:ind w:firstLine="539" w:firstLineChars="257"/>
        <w:jc w:val="left"/>
        <w:rPr>
          <w:rFonts w:ascii="宋体" w:hAnsi="宋体" w:cs="宋体"/>
          <w:color w:val="auto"/>
          <w:kern w:val="0"/>
          <w:highlight w:val="none"/>
        </w:rPr>
      </w:pPr>
    </w:p>
    <w:p w14:paraId="5A789402">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投 标 人：</w:t>
      </w:r>
      <w:r>
        <w:rPr>
          <w:rFonts w:hint="eastAsia" w:ascii="宋体" w:hAnsi="宋体" w:cs="宋体"/>
          <w:color w:val="auto"/>
          <w:kern w:val="0"/>
          <w:highlight w:val="none"/>
          <w:u w:val="single"/>
        </w:rPr>
        <w:t>（</w:t>
      </w:r>
      <w:r>
        <w:rPr>
          <w:rFonts w:hint="eastAsia" w:ascii="宋体" w:hAnsi="宋体" w:cs="宋体"/>
          <w:color w:val="auto"/>
          <w:kern w:val="0"/>
          <w:highlight w:val="none"/>
        </w:rPr>
        <w:t>盖单位章）</w:t>
      </w:r>
    </w:p>
    <w:p w14:paraId="4318773F">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法定代表人或其委托代理人：</w:t>
      </w:r>
      <w:r>
        <w:rPr>
          <w:rFonts w:hint="eastAsia" w:ascii="宋体" w:hAnsi="宋体" w:cs="宋体"/>
          <w:color w:val="auto"/>
          <w:kern w:val="0"/>
          <w:highlight w:val="none"/>
          <w:u w:val="single"/>
        </w:rPr>
        <w:t>（</w:t>
      </w:r>
      <w:r>
        <w:rPr>
          <w:rFonts w:hint="eastAsia" w:ascii="宋体" w:hAnsi="宋体" w:cs="宋体"/>
          <w:color w:val="auto"/>
          <w:kern w:val="0"/>
          <w:highlight w:val="none"/>
        </w:rPr>
        <w:t>签字）</w:t>
      </w:r>
    </w:p>
    <w:p w14:paraId="550163BE">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地址：</w:t>
      </w:r>
    </w:p>
    <w:p w14:paraId="01BF38BE">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网址：</w:t>
      </w:r>
    </w:p>
    <w:p w14:paraId="3766EB91">
      <w:pPr>
        <w:autoSpaceDE w:val="0"/>
        <w:autoSpaceDN w:val="0"/>
        <w:adjustRightInd w:val="0"/>
        <w:spacing w:line="420" w:lineRule="exact"/>
        <w:ind w:firstLine="2520" w:firstLineChars="1200"/>
        <w:jc w:val="left"/>
        <w:rPr>
          <w:rFonts w:ascii="宋体" w:hAnsi="宋体" w:cs="宋体"/>
          <w:color w:val="auto"/>
          <w:kern w:val="0"/>
          <w:highlight w:val="none"/>
        </w:rPr>
      </w:pPr>
      <w:r>
        <w:rPr>
          <w:rFonts w:hint="eastAsia" w:ascii="宋体" w:hAnsi="宋体" w:cs="宋体"/>
          <w:color w:val="auto"/>
          <w:kern w:val="0"/>
          <w:highlight w:val="none"/>
        </w:rPr>
        <w:t>电话：      传真：      邮政编码：</w:t>
      </w:r>
    </w:p>
    <w:p w14:paraId="783BD0E3">
      <w:pPr>
        <w:autoSpaceDE w:val="0"/>
        <w:autoSpaceDN w:val="0"/>
        <w:adjustRightInd w:val="0"/>
        <w:spacing w:line="420" w:lineRule="exact"/>
        <w:ind w:firstLine="2940" w:firstLineChars="1400"/>
        <w:jc w:val="left"/>
        <w:rPr>
          <w:rFonts w:ascii="宋体" w:hAnsi="宋体" w:cs="宋体"/>
          <w:color w:val="auto"/>
          <w:kern w:val="0"/>
          <w:highlight w:val="none"/>
        </w:rPr>
      </w:pPr>
      <w:r>
        <w:rPr>
          <w:rFonts w:hint="eastAsia" w:ascii="宋体" w:hAnsi="宋体" w:cs="宋体"/>
          <w:color w:val="auto"/>
          <w:kern w:val="0"/>
          <w:highlight w:val="none"/>
        </w:rPr>
        <w:t>年   月   日</w:t>
      </w:r>
    </w:p>
    <w:p w14:paraId="671B1687">
      <w:pPr>
        <w:autoSpaceDE w:val="0"/>
        <w:autoSpaceDN w:val="0"/>
        <w:adjustRightInd w:val="0"/>
        <w:spacing w:line="420" w:lineRule="exact"/>
        <w:ind w:firstLine="2520" w:firstLineChars="1200"/>
        <w:jc w:val="left"/>
        <w:rPr>
          <w:rFonts w:ascii="宋体" w:hAnsi="宋体" w:cs="宋体"/>
          <w:color w:val="auto"/>
          <w:kern w:val="0"/>
          <w:highlight w:val="none"/>
        </w:rPr>
      </w:pPr>
    </w:p>
    <w:p w14:paraId="77F04741">
      <w:pPr>
        <w:autoSpaceDE w:val="0"/>
        <w:autoSpaceDN w:val="0"/>
        <w:adjustRightInd w:val="0"/>
        <w:spacing w:line="420" w:lineRule="exact"/>
        <w:jc w:val="left"/>
        <w:rPr>
          <w:rFonts w:ascii="宋体" w:hAnsi="宋体" w:cs="宋体"/>
          <w:color w:val="auto"/>
          <w:kern w:val="0"/>
          <w:sz w:val="24"/>
          <w:highlight w:val="none"/>
        </w:rPr>
      </w:pPr>
    </w:p>
    <w:p w14:paraId="5C847154">
      <w:pPr>
        <w:autoSpaceDE w:val="0"/>
        <w:autoSpaceDN w:val="0"/>
        <w:adjustRightInd w:val="0"/>
        <w:spacing w:line="420" w:lineRule="exact"/>
        <w:jc w:val="center"/>
        <w:outlineLvl w:val="9"/>
        <w:rPr>
          <w:rFonts w:ascii="宋体" w:hAnsi="宋体" w:cs="宋体"/>
          <w:b/>
          <w:color w:val="auto"/>
          <w:kern w:val="0"/>
          <w:sz w:val="24"/>
          <w:highlight w:val="none"/>
        </w:rPr>
      </w:pPr>
      <w:bookmarkStart w:id="339" w:name="_Toc227492340"/>
      <w:bookmarkStart w:id="340" w:name="_Toc228591604"/>
      <w:bookmarkStart w:id="341" w:name="_Toc228589258"/>
      <w:bookmarkStart w:id="342" w:name="_Toc228591752"/>
      <w:bookmarkStart w:id="343" w:name="_Toc214433984"/>
      <w:bookmarkStart w:id="344" w:name="_Toc228337193"/>
      <w:bookmarkStart w:id="345" w:name="_Toc227657582"/>
    </w:p>
    <w:p w14:paraId="40741237">
      <w:pPr>
        <w:autoSpaceDE w:val="0"/>
        <w:autoSpaceDN w:val="0"/>
        <w:adjustRightInd w:val="0"/>
        <w:spacing w:line="420" w:lineRule="exact"/>
        <w:jc w:val="center"/>
        <w:outlineLvl w:val="9"/>
        <w:rPr>
          <w:rFonts w:ascii="宋体" w:hAnsi="宋体" w:cs="宋体"/>
          <w:b/>
          <w:color w:val="auto"/>
          <w:kern w:val="0"/>
          <w:sz w:val="24"/>
          <w:highlight w:val="none"/>
        </w:rPr>
      </w:pPr>
    </w:p>
    <w:p w14:paraId="578DC7D2">
      <w:pPr>
        <w:autoSpaceDE w:val="0"/>
        <w:autoSpaceDN w:val="0"/>
        <w:adjustRightInd w:val="0"/>
        <w:spacing w:line="420" w:lineRule="exact"/>
        <w:jc w:val="center"/>
        <w:outlineLvl w:val="9"/>
        <w:rPr>
          <w:rFonts w:ascii="宋体" w:hAnsi="宋体" w:cs="宋体"/>
          <w:b/>
          <w:color w:val="auto"/>
          <w:kern w:val="0"/>
          <w:sz w:val="24"/>
          <w:highlight w:val="none"/>
        </w:rPr>
      </w:pPr>
    </w:p>
    <w:p w14:paraId="40646FC8">
      <w:pPr>
        <w:autoSpaceDE w:val="0"/>
        <w:autoSpaceDN w:val="0"/>
        <w:adjustRightInd w:val="0"/>
        <w:spacing w:line="420" w:lineRule="exact"/>
        <w:jc w:val="center"/>
        <w:outlineLvl w:val="9"/>
        <w:rPr>
          <w:rFonts w:ascii="宋体" w:hAnsi="宋体" w:cs="宋体"/>
          <w:b/>
          <w:color w:val="auto"/>
          <w:kern w:val="0"/>
          <w:sz w:val="24"/>
          <w:highlight w:val="none"/>
        </w:rPr>
      </w:pPr>
    </w:p>
    <w:p w14:paraId="57265609">
      <w:pPr>
        <w:autoSpaceDE w:val="0"/>
        <w:autoSpaceDN w:val="0"/>
        <w:adjustRightInd w:val="0"/>
        <w:spacing w:line="420" w:lineRule="exact"/>
        <w:jc w:val="center"/>
        <w:outlineLvl w:val="9"/>
        <w:rPr>
          <w:rFonts w:ascii="宋体" w:hAnsi="宋体" w:cs="宋体"/>
          <w:b/>
          <w:color w:val="auto"/>
          <w:kern w:val="0"/>
          <w:sz w:val="24"/>
          <w:highlight w:val="none"/>
        </w:rPr>
      </w:pPr>
    </w:p>
    <w:p w14:paraId="3F5728EA">
      <w:pPr>
        <w:autoSpaceDE w:val="0"/>
        <w:autoSpaceDN w:val="0"/>
        <w:adjustRightInd w:val="0"/>
        <w:spacing w:line="420" w:lineRule="exact"/>
        <w:jc w:val="center"/>
        <w:outlineLvl w:val="9"/>
        <w:rPr>
          <w:rFonts w:ascii="宋体" w:hAnsi="宋体" w:cs="宋体"/>
          <w:b/>
          <w:color w:val="auto"/>
          <w:kern w:val="0"/>
          <w:sz w:val="24"/>
          <w:highlight w:val="none"/>
        </w:rPr>
      </w:pPr>
    </w:p>
    <w:p w14:paraId="570A46E1">
      <w:pPr>
        <w:autoSpaceDE w:val="0"/>
        <w:autoSpaceDN w:val="0"/>
        <w:adjustRightInd w:val="0"/>
        <w:spacing w:line="420" w:lineRule="exact"/>
        <w:jc w:val="center"/>
        <w:outlineLvl w:val="0"/>
        <w:rPr>
          <w:rFonts w:ascii="宋体" w:hAnsi="宋体" w:cs="宋体"/>
          <w:b/>
          <w:color w:val="auto"/>
          <w:kern w:val="0"/>
          <w:sz w:val="24"/>
          <w:highlight w:val="none"/>
        </w:rPr>
      </w:pPr>
      <w:bookmarkStart w:id="346" w:name="_Toc302986290"/>
      <w:bookmarkStart w:id="347" w:name="_Toc228881244"/>
      <w:bookmarkStart w:id="348" w:name="_Toc302402796"/>
      <w:bookmarkStart w:id="349" w:name="_Toc19984"/>
      <w:bookmarkStart w:id="350" w:name="_Toc286251947"/>
      <w:r>
        <w:rPr>
          <w:rFonts w:hint="eastAsia" w:ascii="宋体" w:hAnsi="宋体" w:cs="宋体"/>
          <w:b/>
          <w:color w:val="auto"/>
          <w:kern w:val="0"/>
          <w:sz w:val="24"/>
          <w:highlight w:val="none"/>
        </w:rPr>
        <w:t>（二）投标函附录</w:t>
      </w:r>
      <w:bookmarkEnd w:id="339"/>
      <w:bookmarkEnd w:id="340"/>
      <w:bookmarkEnd w:id="341"/>
      <w:bookmarkEnd w:id="342"/>
      <w:bookmarkEnd w:id="343"/>
      <w:bookmarkEnd w:id="344"/>
      <w:bookmarkEnd w:id="345"/>
      <w:bookmarkEnd w:id="346"/>
      <w:bookmarkEnd w:id="347"/>
      <w:bookmarkEnd w:id="348"/>
      <w:bookmarkEnd w:id="349"/>
      <w:bookmarkEnd w:id="350"/>
    </w:p>
    <w:tbl>
      <w:tblPr>
        <w:tblStyle w:val="15"/>
        <w:tblW w:w="8525" w:type="dxa"/>
        <w:jc w:val="center"/>
        <w:tblLayout w:type="fixed"/>
        <w:tblCellMar>
          <w:top w:w="0" w:type="dxa"/>
          <w:left w:w="108" w:type="dxa"/>
          <w:bottom w:w="0" w:type="dxa"/>
          <w:right w:w="108" w:type="dxa"/>
        </w:tblCellMar>
      </w:tblPr>
      <w:tblGrid>
        <w:gridCol w:w="2988"/>
        <w:gridCol w:w="2880"/>
        <w:gridCol w:w="180"/>
        <w:gridCol w:w="1025"/>
        <w:gridCol w:w="1452"/>
      </w:tblGrid>
      <w:tr w14:paraId="78AE321A">
        <w:tblPrEx>
          <w:tblCellMar>
            <w:top w:w="0" w:type="dxa"/>
            <w:left w:w="108" w:type="dxa"/>
            <w:bottom w:w="0" w:type="dxa"/>
            <w:right w:w="108" w:type="dxa"/>
          </w:tblCellMar>
        </w:tblPrEx>
        <w:trPr>
          <w:trHeight w:val="606"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52556862">
            <w:pPr>
              <w:spacing w:line="420" w:lineRule="exact"/>
              <w:jc w:val="center"/>
              <w:rPr>
                <w:rFonts w:ascii="宋体" w:hAnsi="宋体" w:cs="宋体"/>
                <w:color w:val="auto"/>
                <w:highlight w:val="none"/>
              </w:rPr>
            </w:pPr>
            <w:r>
              <w:rPr>
                <w:rFonts w:hint="eastAsia" w:ascii="宋体" w:hAnsi="宋体" w:cs="宋体"/>
                <w:color w:val="auto"/>
                <w:highlight w:val="none"/>
              </w:rPr>
              <w:t>工程名称</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2E293DBB">
            <w:pPr>
              <w:spacing w:line="420" w:lineRule="exact"/>
              <w:jc w:val="center"/>
              <w:rPr>
                <w:rFonts w:ascii="宋体" w:hAnsi="宋体" w:cs="宋体"/>
                <w:color w:val="auto"/>
                <w:highlight w:val="none"/>
              </w:rPr>
            </w:pPr>
          </w:p>
        </w:tc>
      </w:tr>
      <w:tr w14:paraId="0E977E38">
        <w:tblPrEx>
          <w:tblCellMar>
            <w:top w:w="0" w:type="dxa"/>
            <w:left w:w="108" w:type="dxa"/>
            <w:bottom w:w="0" w:type="dxa"/>
            <w:right w:w="108" w:type="dxa"/>
          </w:tblCellMar>
        </w:tblPrEx>
        <w:trPr>
          <w:trHeight w:val="613"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2A59481">
            <w:pPr>
              <w:spacing w:line="420" w:lineRule="exact"/>
              <w:jc w:val="center"/>
              <w:rPr>
                <w:rFonts w:ascii="宋体" w:hAnsi="宋体" w:cs="宋体"/>
                <w:color w:val="auto"/>
                <w:highlight w:val="none"/>
              </w:rPr>
            </w:pPr>
            <w:r>
              <w:rPr>
                <w:rFonts w:hint="eastAsia" w:ascii="宋体" w:hAnsi="宋体" w:cs="宋体"/>
                <w:color w:val="auto"/>
                <w:highlight w:val="none"/>
              </w:rPr>
              <w:t>投标人</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488CD432">
            <w:pPr>
              <w:spacing w:line="420" w:lineRule="exact"/>
              <w:jc w:val="center"/>
              <w:rPr>
                <w:rFonts w:ascii="宋体" w:hAnsi="宋体" w:cs="宋体"/>
                <w:color w:val="auto"/>
                <w:highlight w:val="none"/>
              </w:rPr>
            </w:pPr>
          </w:p>
        </w:tc>
      </w:tr>
      <w:tr w14:paraId="03764A72">
        <w:tblPrEx>
          <w:tblCellMar>
            <w:top w:w="0" w:type="dxa"/>
            <w:left w:w="108" w:type="dxa"/>
            <w:bottom w:w="0" w:type="dxa"/>
            <w:right w:w="108" w:type="dxa"/>
          </w:tblCellMar>
        </w:tblPrEx>
        <w:trPr>
          <w:trHeight w:val="607"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5B554DD1">
            <w:pPr>
              <w:spacing w:line="420" w:lineRule="exact"/>
              <w:jc w:val="center"/>
              <w:rPr>
                <w:rFonts w:ascii="宋体" w:hAnsi="宋体" w:cs="宋体"/>
                <w:color w:val="auto"/>
                <w:highlight w:val="none"/>
              </w:rPr>
            </w:pPr>
            <w:r>
              <w:rPr>
                <w:rFonts w:hint="eastAsia" w:ascii="宋体" w:hAnsi="宋体" w:cs="宋体"/>
                <w:color w:val="auto"/>
                <w:highlight w:val="none"/>
              </w:rPr>
              <w:t>项目负责人</w:t>
            </w:r>
          </w:p>
        </w:tc>
        <w:tc>
          <w:tcPr>
            <w:tcW w:w="2880" w:type="dxa"/>
            <w:tcBorders>
              <w:top w:val="single" w:color="auto" w:sz="4" w:space="0"/>
              <w:left w:val="single" w:color="auto" w:sz="4" w:space="0"/>
              <w:bottom w:val="single" w:color="auto" w:sz="4" w:space="0"/>
              <w:right w:val="single" w:color="auto" w:sz="4" w:space="0"/>
            </w:tcBorders>
            <w:vAlign w:val="center"/>
          </w:tcPr>
          <w:p w14:paraId="7E7A85B9">
            <w:pPr>
              <w:spacing w:line="420" w:lineRule="exact"/>
              <w:jc w:val="center"/>
              <w:rPr>
                <w:rFonts w:ascii="宋体" w:hAnsi="宋体" w:cs="宋体"/>
                <w:color w:val="auto"/>
                <w:highlight w:val="none"/>
              </w:rPr>
            </w:pPr>
            <w:r>
              <w:rPr>
                <w:rFonts w:hint="eastAsia" w:ascii="宋体" w:hAnsi="宋体" w:cs="宋体"/>
                <w:color w:val="auto"/>
                <w:highlight w:val="none"/>
              </w:rPr>
              <w:t>（姓名、专业等级）</w:t>
            </w:r>
          </w:p>
        </w:tc>
        <w:tc>
          <w:tcPr>
            <w:tcW w:w="1205" w:type="dxa"/>
            <w:gridSpan w:val="2"/>
            <w:tcBorders>
              <w:top w:val="single" w:color="auto" w:sz="4" w:space="0"/>
              <w:left w:val="single" w:color="auto" w:sz="4" w:space="0"/>
              <w:bottom w:val="single" w:color="auto" w:sz="4" w:space="0"/>
              <w:right w:val="single" w:color="auto" w:sz="4" w:space="0"/>
            </w:tcBorders>
            <w:vAlign w:val="center"/>
          </w:tcPr>
          <w:p w14:paraId="5E33845F">
            <w:pPr>
              <w:spacing w:line="420" w:lineRule="exact"/>
              <w:jc w:val="center"/>
              <w:rPr>
                <w:rFonts w:ascii="宋体" w:hAnsi="宋体" w:cs="宋体"/>
                <w:color w:val="auto"/>
                <w:highlight w:val="none"/>
              </w:rPr>
            </w:pPr>
            <w:r>
              <w:rPr>
                <w:rFonts w:hint="eastAsia" w:ascii="宋体" w:hAnsi="宋体" w:cs="宋体"/>
                <w:color w:val="auto"/>
                <w:highlight w:val="none"/>
              </w:rPr>
              <w:t>证书编号</w:t>
            </w:r>
          </w:p>
        </w:tc>
        <w:tc>
          <w:tcPr>
            <w:tcW w:w="1452" w:type="dxa"/>
            <w:tcBorders>
              <w:top w:val="single" w:color="auto" w:sz="4" w:space="0"/>
              <w:left w:val="single" w:color="auto" w:sz="4" w:space="0"/>
              <w:bottom w:val="single" w:color="auto" w:sz="4" w:space="0"/>
              <w:right w:val="single" w:color="auto" w:sz="4" w:space="0"/>
            </w:tcBorders>
            <w:vAlign w:val="center"/>
          </w:tcPr>
          <w:p w14:paraId="00D73364">
            <w:pPr>
              <w:spacing w:line="420" w:lineRule="exact"/>
              <w:jc w:val="center"/>
              <w:rPr>
                <w:rFonts w:ascii="宋体" w:hAnsi="宋体" w:cs="宋体"/>
                <w:color w:val="auto"/>
                <w:highlight w:val="none"/>
              </w:rPr>
            </w:pPr>
          </w:p>
        </w:tc>
      </w:tr>
      <w:tr w14:paraId="129EF052">
        <w:tblPrEx>
          <w:tblCellMar>
            <w:top w:w="0" w:type="dxa"/>
            <w:left w:w="108" w:type="dxa"/>
            <w:bottom w:w="0" w:type="dxa"/>
            <w:right w:w="108" w:type="dxa"/>
          </w:tblCellMar>
        </w:tblPrEx>
        <w:trPr>
          <w:trHeight w:val="605"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50FAFEE">
            <w:pPr>
              <w:spacing w:line="420" w:lineRule="exact"/>
              <w:jc w:val="center"/>
              <w:rPr>
                <w:rFonts w:ascii="宋体" w:hAnsi="宋体" w:cs="宋体"/>
                <w:color w:val="auto"/>
                <w:highlight w:val="none"/>
              </w:rPr>
            </w:pPr>
            <w:r>
              <w:rPr>
                <w:rFonts w:hint="eastAsia" w:ascii="宋体" w:hAnsi="宋体" w:cs="宋体"/>
                <w:color w:val="auto"/>
                <w:highlight w:val="none"/>
              </w:rPr>
              <w:t>投标范围</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37FE37EC">
            <w:pPr>
              <w:spacing w:line="420" w:lineRule="exact"/>
              <w:rPr>
                <w:rFonts w:ascii="宋体" w:hAnsi="宋体" w:cs="宋体"/>
                <w:color w:val="auto"/>
                <w:highlight w:val="none"/>
              </w:rPr>
            </w:pPr>
            <w:r>
              <w:rPr>
                <w:rFonts w:hint="eastAsia" w:ascii="宋体" w:hAnsi="宋体" w:cs="宋体"/>
                <w:color w:val="auto"/>
                <w:kern w:val="0"/>
                <w:highlight w:val="none"/>
              </w:rPr>
              <w:t>工程量清单范围内全部内容</w:t>
            </w:r>
          </w:p>
        </w:tc>
      </w:tr>
      <w:tr w14:paraId="552368FD">
        <w:tblPrEx>
          <w:tblCellMar>
            <w:top w:w="0" w:type="dxa"/>
            <w:left w:w="108" w:type="dxa"/>
            <w:bottom w:w="0" w:type="dxa"/>
            <w:right w:w="108" w:type="dxa"/>
          </w:tblCellMar>
        </w:tblPrEx>
        <w:trPr>
          <w:trHeight w:val="930"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0E72965">
            <w:pPr>
              <w:spacing w:line="420" w:lineRule="exact"/>
              <w:jc w:val="center"/>
              <w:rPr>
                <w:rFonts w:ascii="宋体" w:hAnsi="宋体" w:cs="宋体"/>
                <w:color w:val="auto"/>
                <w:highlight w:val="none"/>
              </w:rPr>
            </w:pPr>
            <w:r>
              <w:rPr>
                <w:rFonts w:hint="eastAsia" w:ascii="宋体" w:hAnsi="宋体" w:cs="宋体"/>
                <w:color w:val="auto"/>
                <w:highlight w:val="none"/>
              </w:rPr>
              <w:t>投标总报价(含规费、税金、安全文明施工费)（元）</w:t>
            </w:r>
          </w:p>
        </w:tc>
        <w:tc>
          <w:tcPr>
            <w:tcW w:w="3060" w:type="dxa"/>
            <w:gridSpan w:val="2"/>
            <w:tcBorders>
              <w:top w:val="single" w:color="auto" w:sz="4" w:space="0"/>
              <w:left w:val="single" w:color="auto" w:sz="4" w:space="0"/>
              <w:bottom w:val="single" w:color="auto" w:sz="4" w:space="0"/>
              <w:right w:val="single" w:color="auto" w:sz="4" w:space="0"/>
            </w:tcBorders>
            <w:vAlign w:val="center"/>
          </w:tcPr>
          <w:p w14:paraId="46CE096F">
            <w:pPr>
              <w:spacing w:line="420" w:lineRule="exact"/>
              <w:rPr>
                <w:rFonts w:ascii="宋体" w:hAnsi="宋体" w:cs="宋体"/>
                <w:color w:val="auto"/>
                <w:highlight w:val="none"/>
              </w:rPr>
            </w:pPr>
            <w:r>
              <w:rPr>
                <w:rFonts w:hint="eastAsia" w:ascii="宋体" w:hAnsi="宋体" w:cs="宋体"/>
                <w:color w:val="auto"/>
                <w:highlight w:val="none"/>
              </w:rPr>
              <w:t>（大写）</w:t>
            </w:r>
          </w:p>
        </w:tc>
        <w:tc>
          <w:tcPr>
            <w:tcW w:w="2477" w:type="dxa"/>
            <w:gridSpan w:val="2"/>
            <w:tcBorders>
              <w:top w:val="single" w:color="auto" w:sz="4" w:space="0"/>
              <w:left w:val="single" w:color="auto" w:sz="4" w:space="0"/>
              <w:bottom w:val="single" w:color="auto" w:sz="4" w:space="0"/>
              <w:right w:val="single" w:color="auto" w:sz="4" w:space="0"/>
            </w:tcBorders>
            <w:vAlign w:val="center"/>
          </w:tcPr>
          <w:p w14:paraId="3367A0F3">
            <w:pPr>
              <w:spacing w:line="420" w:lineRule="exact"/>
              <w:rPr>
                <w:rFonts w:ascii="宋体" w:hAnsi="宋体" w:cs="宋体"/>
                <w:color w:val="auto"/>
                <w:highlight w:val="none"/>
              </w:rPr>
            </w:pPr>
            <w:r>
              <w:rPr>
                <w:rFonts w:hint="eastAsia" w:ascii="宋体" w:hAnsi="宋体" w:cs="宋体"/>
                <w:color w:val="auto"/>
                <w:highlight w:val="none"/>
              </w:rPr>
              <w:t>（小写）</w:t>
            </w:r>
          </w:p>
        </w:tc>
      </w:tr>
      <w:tr w14:paraId="69160633">
        <w:tblPrEx>
          <w:tblCellMar>
            <w:top w:w="0" w:type="dxa"/>
            <w:left w:w="108" w:type="dxa"/>
            <w:bottom w:w="0" w:type="dxa"/>
            <w:right w:w="108" w:type="dxa"/>
          </w:tblCellMar>
        </w:tblPrEx>
        <w:trPr>
          <w:trHeight w:val="922"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7AC57289">
            <w:pPr>
              <w:spacing w:line="420" w:lineRule="exact"/>
              <w:jc w:val="center"/>
              <w:rPr>
                <w:rFonts w:ascii="宋体" w:hAnsi="宋体" w:cs="宋体"/>
                <w:color w:val="auto"/>
                <w:highlight w:val="none"/>
              </w:rPr>
            </w:pPr>
            <w:r>
              <w:rPr>
                <w:rFonts w:hint="eastAsia" w:ascii="宋体" w:hAnsi="宋体" w:cs="宋体"/>
                <w:color w:val="auto"/>
                <w:highlight w:val="none"/>
              </w:rPr>
              <w:t>投标质量等级</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0B7CE968">
            <w:pPr>
              <w:spacing w:line="420" w:lineRule="exact"/>
              <w:jc w:val="center"/>
              <w:rPr>
                <w:rFonts w:ascii="宋体" w:hAnsi="宋体" w:cs="宋体"/>
                <w:color w:val="auto"/>
                <w:highlight w:val="none"/>
              </w:rPr>
            </w:pPr>
          </w:p>
        </w:tc>
      </w:tr>
      <w:tr w14:paraId="3071F10F">
        <w:tblPrEx>
          <w:tblCellMar>
            <w:top w:w="0" w:type="dxa"/>
            <w:left w:w="108" w:type="dxa"/>
            <w:bottom w:w="0" w:type="dxa"/>
            <w:right w:w="108" w:type="dxa"/>
          </w:tblCellMar>
        </w:tblPrEx>
        <w:trPr>
          <w:trHeight w:val="930" w:hRule="atLeast"/>
          <w:jc w:val="center"/>
        </w:trPr>
        <w:tc>
          <w:tcPr>
            <w:tcW w:w="2988" w:type="dxa"/>
            <w:tcBorders>
              <w:top w:val="single" w:color="auto" w:sz="4" w:space="0"/>
              <w:left w:val="single" w:color="auto" w:sz="4" w:space="0"/>
              <w:bottom w:val="single" w:color="auto" w:sz="4" w:space="0"/>
              <w:right w:val="single" w:color="auto" w:sz="4" w:space="0"/>
            </w:tcBorders>
            <w:vAlign w:val="center"/>
          </w:tcPr>
          <w:p w14:paraId="68B92716">
            <w:pPr>
              <w:spacing w:line="420" w:lineRule="exact"/>
              <w:jc w:val="center"/>
              <w:rPr>
                <w:rFonts w:ascii="宋体" w:hAnsi="宋体" w:cs="宋体"/>
                <w:color w:val="auto"/>
                <w:highlight w:val="none"/>
              </w:rPr>
            </w:pPr>
            <w:r>
              <w:rPr>
                <w:rFonts w:hint="eastAsia" w:ascii="宋体" w:hAnsi="宋体" w:cs="宋体"/>
                <w:color w:val="auto"/>
                <w:highlight w:val="none"/>
              </w:rPr>
              <w:t>投标工期</w:t>
            </w:r>
          </w:p>
        </w:tc>
        <w:tc>
          <w:tcPr>
            <w:tcW w:w="5537" w:type="dxa"/>
            <w:gridSpan w:val="4"/>
            <w:tcBorders>
              <w:top w:val="single" w:color="auto" w:sz="4" w:space="0"/>
              <w:left w:val="single" w:color="auto" w:sz="4" w:space="0"/>
              <w:bottom w:val="single" w:color="auto" w:sz="4" w:space="0"/>
              <w:right w:val="single" w:color="auto" w:sz="4" w:space="0"/>
            </w:tcBorders>
            <w:vAlign w:val="center"/>
          </w:tcPr>
          <w:p w14:paraId="496D8C03">
            <w:pPr>
              <w:spacing w:line="420" w:lineRule="exact"/>
              <w:jc w:val="center"/>
              <w:rPr>
                <w:rFonts w:ascii="宋体" w:hAnsi="宋体" w:cs="宋体"/>
                <w:color w:val="auto"/>
                <w:highlight w:val="none"/>
              </w:rPr>
            </w:pPr>
            <w:r>
              <w:rPr>
                <w:rFonts w:hint="eastAsia" w:ascii="宋体" w:hAnsi="宋体" w:cs="宋体"/>
                <w:color w:val="auto"/>
                <w:highlight w:val="none"/>
              </w:rPr>
              <w:t>日历天</w:t>
            </w:r>
          </w:p>
        </w:tc>
      </w:tr>
    </w:tbl>
    <w:p w14:paraId="4319FED6">
      <w:pPr>
        <w:spacing w:line="420" w:lineRule="exact"/>
        <w:rPr>
          <w:rFonts w:ascii="宋体" w:hAnsi="宋体" w:cs="宋体"/>
          <w:color w:val="auto"/>
          <w:highlight w:val="none"/>
        </w:rPr>
      </w:pPr>
    </w:p>
    <w:p w14:paraId="687EF61E">
      <w:pPr>
        <w:spacing w:line="420" w:lineRule="exact"/>
        <w:jc w:val="center"/>
        <w:rPr>
          <w:rFonts w:ascii="宋体" w:hAnsi="宋体" w:cs="宋体"/>
          <w:color w:val="auto"/>
          <w:highlight w:val="none"/>
        </w:rPr>
      </w:pPr>
      <w:r>
        <w:rPr>
          <w:rFonts w:hint="eastAsia" w:ascii="宋体" w:hAnsi="宋体" w:cs="宋体"/>
          <w:color w:val="auto"/>
          <w:highlight w:val="none"/>
        </w:rPr>
        <w:t>投标单位：（盖章）：</w:t>
      </w:r>
    </w:p>
    <w:p w14:paraId="2FB7E5D5">
      <w:pPr>
        <w:spacing w:line="420" w:lineRule="exact"/>
        <w:jc w:val="center"/>
        <w:rPr>
          <w:rFonts w:ascii="宋体" w:hAnsi="宋体" w:cs="宋体"/>
          <w:color w:val="auto"/>
          <w:highlight w:val="none"/>
        </w:rPr>
      </w:pPr>
      <w:r>
        <w:rPr>
          <w:rFonts w:hint="eastAsia" w:ascii="宋体" w:hAnsi="宋体" w:cs="宋体"/>
          <w:color w:val="auto"/>
          <w:highlight w:val="none"/>
        </w:rPr>
        <w:t>法定代表人：（盖章）：</w:t>
      </w:r>
    </w:p>
    <w:p w14:paraId="2F7F282F">
      <w:pPr>
        <w:spacing w:line="420" w:lineRule="exact"/>
        <w:ind w:right="630"/>
        <w:jc w:val="center"/>
        <w:rPr>
          <w:rFonts w:ascii="宋体" w:hAnsi="宋体" w:cs="宋体"/>
          <w:color w:val="auto"/>
          <w:highlight w:val="none"/>
        </w:rPr>
      </w:pPr>
      <w:r>
        <w:rPr>
          <w:rFonts w:hint="eastAsia" w:ascii="宋体" w:hAnsi="宋体" w:cs="宋体"/>
          <w:color w:val="auto"/>
          <w:highlight w:val="none"/>
        </w:rPr>
        <w:t>年 月 日</w:t>
      </w:r>
    </w:p>
    <w:p w14:paraId="6CD988DF">
      <w:pPr>
        <w:autoSpaceDE w:val="0"/>
        <w:autoSpaceDN w:val="0"/>
        <w:adjustRightInd w:val="0"/>
        <w:spacing w:line="420" w:lineRule="exact"/>
        <w:jc w:val="center"/>
        <w:outlineLvl w:val="9"/>
        <w:rPr>
          <w:rFonts w:ascii="宋体" w:hAnsi="宋体" w:cs="宋体"/>
          <w:b/>
          <w:color w:val="auto"/>
          <w:kern w:val="0"/>
          <w:sz w:val="24"/>
          <w:highlight w:val="none"/>
        </w:rPr>
      </w:pPr>
      <w:bookmarkStart w:id="351" w:name="_Toc302986291"/>
    </w:p>
    <w:bookmarkEnd w:id="351"/>
    <w:p w14:paraId="4848C37D">
      <w:pPr>
        <w:rPr>
          <w:rFonts w:hint="eastAsia" w:ascii="宋体" w:hAnsi="宋体" w:eastAsia="宋体" w:cs="宋体"/>
          <w:b/>
          <w:color w:val="auto"/>
          <w:kern w:val="0"/>
          <w:sz w:val="32"/>
          <w:highlight w:val="none"/>
        </w:rPr>
      </w:pPr>
      <w:bookmarkStart w:id="352" w:name="_Toc227657583"/>
      <w:bookmarkStart w:id="353" w:name="_Toc302986292"/>
      <w:bookmarkStart w:id="354" w:name="_Toc286251948"/>
      <w:bookmarkStart w:id="355" w:name="_Toc302402797"/>
      <w:bookmarkStart w:id="356" w:name="_Toc228589259"/>
      <w:bookmarkStart w:id="357" w:name="_Toc227492341"/>
      <w:bookmarkStart w:id="358" w:name="_Toc228337194"/>
      <w:bookmarkStart w:id="359" w:name="_Toc228591753"/>
      <w:bookmarkStart w:id="360" w:name="_Toc228591605"/>
      <w:bookmarkStart w:id="361" w:name="_Toc214433985"/>
      <w:bookmarkStart w:id="362" w:name="_Toc228881245"/>
      <w:r>
        <w:rPr>
          <w:rFonts w:hint="eastAsia" w:ascii="宋体" w:hAnsi="宋体" w:eastAsia="宋体" w:cs="宋体"/>
          <w:b/>
          <w:color w:val="auto"/>
          <w:kern w:val="0"/>
          <w:sz w:val="32"/>
          <w:highlight w:val="none"/>
        </w:rPr>
        <w:br w:type="page"/>
      </w:r>
    </w:p>
    <w:p w14:paraId="3FB6EED2">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二、法定代表人身份证明</w:t>
      </w:r>
      <w:bookmarkEnd w:id="352"/>
      <w:bookmarkEnd w:id="353"/>
      <w:bookmarkEnd w:id="354"/>
      <w:bookmarkEnd w:id="355"/>
      <w:bookmarkEnd w:id="356"/>
      <w:bookmarkEnd w:id="357"/>
      <w:bookmarkEnd w:id="358"/>
      <w:bookmarkEnd w:id="359"/>
      <w:bookmarkEnd w:id="360"/>
      <w:bookmarkEnd w:id="361"/>
      <w:bookmarkEnd w:id="362"/>
    </w:p>
    <w:p w14:paraId="4F3F2692">
      <w:pPr>
        <w:autoSpaceDE w:val="0"/>
        <w:autoSpaceDN w:val="0"/>
        <w:adjustRightInd w:val="0"/>
        <w:spacing w:line="420" w:lineRule="exact"/>
        <w:jc w:val="center"/>
        <w:rPr>
          <w:rFonts w:ascii="宋体" w:hAnsi="宋体" w:cs="宋体"/>
          <w:color w:val="auto"/>
          <w:kern w:val="0"/>
          <w:sz w:val="28"/>
          <w:highlight w:val="none"/>
        </w:rPr>
      </w:pPr>
    </w:p>
    <w:p w14:paraId="5718BB3B">
      <w:pPr>
        <w:autoSpaceDE w:val="0"/>
        <w:autoSpaceDN w:val="0"/>
        <w:adjustRightInd w:val="0"/>
        <w:spacing w:line="420" w:lineRule="exact"/>
        <w:jc w:val="center"/>
        <w:rPr>
          <w:rFonts w:ascii="宋体" w:hAnsi="宋体" w:cs="宋体"/>
          <w:color w:val="auto"/>
          <w:kern w:val="0"/>
          <w:sz w:val="28"/>
          <w:highlight w:val="none"/>
        </w:rPr>
      </w:pPr>
    </w:p>
    <w:p w14:paraId="6EFFE89A">
      <w:pPr>
        <w:autoSpaceDE w:val="0"/>
        <w:autoSpaceDN w:val="0"/>
        <w:adjustRightInd w:val="0"/>
        <w:spacing w:line="420" w:lineRule="exact"/>
        <w:jc w:val="left"/>
        <w:rPr>
          <w:rFonts w:ascii="宋体" w:hAnsi="宋体" w:cs="宋体"/>
          <w:color w:val="auto"/>
          <w:kern w:val="0"/>
          <w:highlight w:val="none"/>
          <w:u w:val="none"/>
        </w:rPr>
      </w:pPr>
      <w:r>
        <w:rPr>
          <w:rFonts w:hint="eastAsia" w:ascii="宋体" w:hAnsi="宋体" w:cs="宋体"/>
          <w:color w:val="auto"/>
          <w:kern w:val="0"/>
          <w:highlight w:val="none"/>
        </w:rPr>
        <w:t>投标人名称：</w:t>
      </w:r>
    </w:p>
    <w:p w14:paraId="2214081C">
      <w:pPr>
        <w:autoSpaceDE w:val="0"/>
        <w:autoSpaceDN w:val="0"/>
        <w:adjustRightInd w:val="0"/>
        <w:spacing w:line="420" w:lineRule="exact"/>
        <w:jc w:val="left"/>
        <w:rPr>
          <w:rFonts w:hint="default" w:ascii="宋体" w:hAnsi="宋体" w:eastAsia="宋体" w:cs="宋体"/>
          <w:color w:val="auto"/>
          <w:kern w:val="0"/>
          <w:highlight w:val="none"/>
          <w:u w:val="single"/>
          <w:lang w:val="en-US" w:eastAsia="zh-CN"/>
        </w:rPr>
      </w:pPr>
      <w:r>
        <w:rPr>
          <w:rFonts w:hint="eastAsia" w:ascii="宋体" w:hAnsi="宋体" w:cs="宋体"/>
          <w:color w:val="auto"/>
          <w:kern w:val="0"/>
          <w:highlight w:val="none"/>
        </w:rPr>
        <w:t>单位性质：</w:t>
      </w:r>
      <w:r>
        <w:rPr>
          <w:rFonts w:hint="eastAsia" w:ascii="宋体" w:hAnsi="宋体" w:cs="宋体"/>
          <w:color w:val="auto"/>
          <w:kern w:val="0"/>
          <w:highlight w:val="none"/>
          <w:lang w:val="en-US" w:eastAsia="zh-CN"/>
        </w:rPr>
        <w:t xml:space="preserve">  </w:t>
      </w:r>
    </w:p>
    <w:p w14:paraId="221AF21B">
      <w:pPr>
        <w:autoSpaceDE w:val="0"/>
        <w:autoSpaceDN w:val="0"/>
        <w:adjustRightInd w:val="0"/>
        <w:spacing w:line="420" w:lineRule="exact"/>
        <w:jc w:val="left"/>
        <w:rPr>
          <w:rFonts w:ascii="宋体" w:hAnsi="宋体" w:cs="宋体"/>
          <w:color w:val="auto"/>
          <w:kern w:val="0"/>
          <w:highlight w:val="none"/>
          <w:u w:val="single"/>
        </w:rPr>
      </w:pPr>
      <w:r>
        <w:rPr>
          <w:rFonts w:hint="eastAsia" w:ascii="宋体" w:hAnsi="宋体" w:cs="宋体"/>
          <w:color w:val="auto"/>
          <w:kern w:val="0"/>
          <w:highlight w:val="none"/>
        </w:rPr>
        <w:t>地址：</w:t>
      </w:r>
    </w:p>
    <w:p w14:paraId="6E2AA07E">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成立时间：     年     月    日</w:t>
      </w:r>
    </w:p>
    <w:p w14:paraId="4A502C23">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经营期限：</w:t>
      </w:r>
    </w:p>
    <w:p w14:paraId="768606DA">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姓名：</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性别：</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年龄：</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职务：</w:t>
      </w:r>
    </w:p>
    <w:p w14:paraId="77F22B31">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系</w:t>
      </w:r>
      <w:r>
        <w:rPr>
          <w:rFonts w:hint="eastAsia" w:ascii="宋体" w:hAnsi="宋体" w:cs="宋体"/>
          <w:color w:val="auto"/>
          <w:kern w:val="0"/>
          <w:highlight w:val="none"/>
          <w:u w:val="single"/>
        </w:rPr>
        <w:t>（投标人名称）</w:t>
      </w:r>
      <w:r>
        <w:rPr>
          <w:rFonts w:hint="eastAsia" w:ascii="宋体" w:hAnsi="宋体" w:cs="宋体"/>
          <w:color w:val="auto"/>
          <w:kern w:val="0"/>
          <w:highlight w:val="none"/>
        </w:rPr>
        <w:t>的法定代表人。</w:t>
      </w:r>
    </w:p>
    <w:p w14:paraId="60D96D44">
      <w:pPr>
        <w:autoSpaceDE w:val="0"/>
        <w:autoSpaceDN w:val="0"/>
        <w:adjustRightInd w:val="0"/>
        <w:spacing w:line="420" w:lineRule="exact"/>
        <w:ind w:firstLine="420" w:firstLineChars="200"/>
        <w:jc w:val="left"/>
        <w:rPr>
          <w:rFonts w:ascii="宋体" w:hAnsi="宋体" w:cs="宋体"/>
          <w:color w:val="auto"/>
          <w:kern w:val="0"/>
          <w:highlight w:val="none"/>
        </w:rPr>
      </w:pPr>
    </w:p>
    <w:p w14:paraId="5D3162F5">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特此证明。</w:t>
      </w:r>
    </w:p>
    <w:p w14:paraId="6FE06FED">
      <w:pPr>
        <w:autoSpaceDE w:val="0"/>
        <w:autoSpaceDN w:val="0"/>
        <w:adjustRightInd w:val="0"/>
        <w:spacing w:line="420" w:lineRule="exact"/>
        <w:ind w:firstLine="420" w:firstLineChars="200"/>
        <w:jc w:val="left"/>
        <w:rPr>
          <w:rFonts w:ascii="宋体" w:hAnsi="宋体" w:cs="宋体"/>
          <w:color w:val="auto"/>
          <w:kern w:val="0"/>
          <w:highlight w:val="none"/>
        </w:rPr>
      </w:pPr>
    </w:p>
    <w:p w14:paraId="2F29AD5E">
      <w:pPr>
        <w:autoSpaceDE w:val="0"/>
        <w:autoSpaceDN w:val="0"/>
        <w:adjustRightInd w:val="0"/>
        <w:spacing w:line="420" w:lineRule="exact"/>
        <w:ind w:firstLine="2698" w:firstLineChars="1285"/>
        <w:jc w:val="right"/>
        <w:rPr>
          <w:rFonts w:ascii="宋体" w:hAnsi="宋体" w:cs="宋体"/>
          <w:color w:val="auto"/>
          <w:kern w:val="0"/>
          <w:highlight w:val="none"/>
        </w:rPr>
      </w:pPr>
      <w:r>
        <w:rPr>
          <w:rFonts w:hint="eastAsia" w:ascii="宋体" w:hAnsi="宋体" w:cs="宋体"/>
          <w:color w:val="auto"/>
          <w:kern w:val="0"/>
          <w:highlight w:val="none"/>
        </w:rPr>
        <w:t>投标人：（盖单位章）</w:t>
      </w:r>
    </w:p>
    <w:p w14:paraId="625BCDA0">
      <w:pPr>
        <w:autoSpaceDE w:val="0"/>
        <w:autoSpaceDN w:val="0"/>
        <w:adjustRightInd w:val="0"/>
        <w:spacing w:line="420" w:lineRule="exact"/>
        <w:ind w:firstLine="2698" w:firstLineChars="1285"/>
        <w:jc w:val="right"/>
        <w:rPr>
          <w:rFonts w:ascii="宋体" w:hAnsi="宋体" w:cs="宋体"/>
          <w:color w:val="auto"/>
          <w:kern w:val="0"/>
          <w:highlight w:val="none"/>
        </w:rPr>
      </w:pPr>
      <w:r>
        <w:rPr>
          <w:rFonts w:hint="eastAsia" w:ascii="宋体" w:hAnsi="宋体" w:cs="宋体"/>
          <w:color w:val="auto"/>
          <w:kern w:val="0"/>
          <w:highlight w:val="none"/>
        </w:rPr>
        <w:t>年 月 日</w:t>
      </w:r>
    </w:p>
    <w:p w14:paraId="7B6830A9">
      <w:pPr>
        <w:autoSpaceDE w:val="0"/>
        <w:autoSpaceDN w:val="0"/>
        <w:adjustRightInd w:val="0"/>
        <w:spacing w:line="420" w:lineRule="exact"/>
        <w:jc w:val="left"/>
        <w:rPr>
          <w:rFonts w:ascii="宋体" w:hAnsi="宋体" w:cs="宋体"/>
          <w:color w:val="auto"/>
          <w:kern w:val="0"/>
          <w:sz w:val="28"/>
          <w:highlight w:val="none"/>
        </w:rPr>
      </w:pPr>
    </w:p>
    <w:p w14:paraId="4E11E6A9">
      <w:pPr>
        <w:autoSpaceDE w:val="0"/>
        <w:autoSpaceDN w:val="0"/>
        <w:adjustRightInd w:val="0"/>
        <w:spacing w:line="420" w:lineRule="exact"/>
        <w:jc w:val="left"/>
        <w:rPr>
          <w:rFonts w:ascii="宋体" w:hAnsi="宋体" w:cs="宋体"/>
          <w:color w:val="auto"/>
          <w:kern w:val="0"/>
          <w:sz w:val="28"/>
          <w:highlight w:val="none"/>
        </w:rPr>
      </w:pPr>
    </w:p>
    <w:p w14:paraId="2C649862">
      <w:pPr>
        <w:rPr>
          <w:rFonts w:hint="eastAsia" w:ascii="宋体" w:hAnsi="宋体" w:eastAsia="宋体" w:cs="宋体"/>
          <w:b/>
          <w:color w:val="auto"/>
          <w:kern w:val="0"/>
          <w:sz w:val="32"/>
          <w:highlight w:val="none"/>
        </w:rPr>
      </w:pPr>
      <w:bookmarkStart w:id="363" w:name="_Toc286251949"/>
      <w:bookmarkStart w:id="364" w:name="_Toc228591606"/>
      <w:bookmarkStart w:id="365" w:name="_Toc228881246"/>
      <w:bookmarkStart w:id="366" w:name="_Toc214433986"/>
      <w:bookmarkStart w:id="367" w:name="_Toc227492342"/>
      <w:bookmarkStart w:id="368" w:name="_Toc228591754"/>
      <w:bookmarkStart w:id="369" w:name="_Toc228589260"/>
      <w:bookmarkStart w:id="370" w:name="_Toc302402798"/>
      <w:bookmarkStart w:id="371" w:name="_Toc302986293"/>
      <w:bookmarkStart w:id="372" w:name="_Toc228337195"/>
      <w:bookmarkStart w:id="373" w:name="_Toc227657584"/>
      <w:r>
        <w:rPr>
          <w:rFonts w:hint="eastAsia" w:ascii="宋体" w:hAnsi="宋体" w:eastAsia="宋体" w:cs="宋体"/>
          <w:b/>
          <w:color w:val="auto"/>
          <w:kern w:val="0"/>
          <w:sz w:val="32"/>
          <w:highlight w:val="none"/>
        </w:rPr>
        <w:br w:type="page"/>
      </w:r>
    </w:p>
    <w:p w14:paraId="2487977F">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三、授权委托书</w:t>
      </w:r>
      <w:bookmarkEnd w:id="363"/>
      <w:bookmarkEnd w:id="364"/>
      <w:bookmarkEnd w:id="365"/>
      <w:bookmarkEnd w:id="366"/>
      <w:bookmarkEnd w:id="367"/>
      <w:bookmarkEnd w:id="368"/>
      <w:bookmarkEnd w:id="369"/>
      <w:bookmarkEnd w:id="370"/>
      <w:bookmarkEnd w:id="371"/>
      <w:bookmarkEnd w:id="372"/>
      <w:bookmarkEnd w:id="373"/>
      <w:r>
        <w:rPr>
          <w:rFonts w:hint="eastAsia" w:ascii="宋体" w:hAnsi="宋体"/>
          <w:b/>
          <w:color w:val="auto"/>
          <w:sz w:val="32"/>
          <w:szCs w:val="32"/>
          <w:highlight w:val="none"/>
        </w:rPr>
        <w:t>（如果有）</w:t>
      </w:r>
    </w:p>
    <w:p w14:paraId="5CF452D9">
      <w:pPr>
        <w:autoSpaceDE w:val="0"/>
        <w:autoSpaceDN w:val="0"/>
        <w:adjustRightInd w:val="0"/>
        <w:spacing w:line="420" w:lineRule="exact"/>
        <w:jc w:val="center"/>
        <w:rPr>
          <w:rFonts w:ascii="宋体" w:hAnsi="宋体" w:cs="宋体"/>
          <w:color w:val="auto"/>
          <w:kern w:val="0"/>
          <w:sz w:val="28"/>
          <w:highlight w:val="none"/>
        </w:rPr>
      </w:pPr>
    </w:p>
    <w:p w14:paraId="08740643">
      <w:pPr>
        <w:autoSpaceDE w:val="0"/>
        <w:autoSpaceDN w:val="0"/>
        <w:adjustRightInd w:val="0"/>
        <w:spacing w:line="420" w:lineRule="exact"/>
        <w:jc w:val="center"/>
        <w:rPr>
          <w:rFonts w:ascii="宋体" w:hAnsi="宋体" w:cs="宋体"/>
          <w:color w:val="auto"/>
          <w:kern w:val="0"/>
          <w:sz w:val="28"/>
          <w:highlight w:val="none"/>
        </w:rPr>
      </w:pPr>
    </w:p>
    <w:p w14:paraId="0E7D1B4F">
      <w:pPr>
        <w:autoSpaceDE w:val="0"/>
        <w:autoSpaceDN w:val="0"/>
        <w:adjustRightInd w:val="0"/>
        <w:spacing w:line="420" w:lineRule="exact"/>
        <w:jc w:val="center"/>
        <w:rPr>
          <w:rFonts w:ascii="宋体" w:hAnsi="宋体" w:cs="宋体"/>
          <w:color w:val="auto"/>
          <w:kern w:val="0"/>
          <w:sz w:val="28"/>
          <w:highlight w:val="none"/>
        </w:rPr>
      </w:pPr>
    </w:p>
    <w:p w14:paraId="5907A336">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 xml:space="preserve">本人 </w:t>
      </w:r>
      <w:r>
        <w:rPr>
          <w:rFonts w:hint="eastAsia" w:ascii="宋体" w:hAnsi="宋体" w:cs="宋体"/>
          <w:color w:val="auto"/>
          <w:kern w:val="0"/>
          <w:highlight w:val="none"/>
          <w:u w:val="single"/>
        </w:rPr>
        <w:t xml:space="preserve">       （姓名）</w:t>
      </w:r>
      <w:r>
        <w:rPr>
          <w:rFonts w:hint="eastAsia" w:ascii="宋体" w:hAnsi="宋体" w:cs="宋体"/>
          <w:color w:val="auto"/>
          <w:kern w:val="0"/>
          <w:highlight w:val="none"/>
        </w:rPr>
        <w:t>系</w:t>
      </w:r>
      <w:r>
        <w:rPr>
          <w:rFonts w:hint="eastAsia" w:ascii="宋体" w:hAnsi="宋体" w:cs="宋体"/>
          <w:color w:val="auto"/>
          <w:kern w:val="0"/>
          <w:highlight w:val="none"/>
          <w:u w:val="single"/>
        </w:rPr>
        <w:t xml:space="preserve">       （投标人名称）</w:t>
      </w:r>
      <w:r>
        <w:rPr>
          <w:rFonts w:hint="eastAsia" w:ascii="宋体" w:hAnsi="宋体" w:cs="宋体"/>
          <w:color w:val="auto"/>
          <w:kern w:val="0"/>
          <w:highlight w:val="none"/>
        </w:rPr>
        <w:t>的法定代表人，现委托</w:t>
      </w:r>
      <w:r>
        <w:rPr>
          <w:rFonts w:hint="eastAsia" w:ascii="宋体" w:hAnsi="宋体" w:cs="宋体"/>
          <w:color w:val="auto"/>
          <w:kern w:val="0"/>
          <w:highlight w:val="none"/>
          <w:u w:val="single"/>
        </w:rPr>
        <w:t xml:space="preserve">       （姓名）</w:t>
      </w:r>
      <w:r>
        <w:rPr>
          <w:rFonts w:hint="eastAsia" w:ascii="宋体" w:hAnsi="宋体" w:cs="宋体"/>
          <w:color w:val="auto"/>
          <w:kern w:val="0"/>
          <w:highlight w:val="none"/>
        </w:rPr>
        <w:t>为我方代理人。代理人根据授权，以我方名义签署、澄清、说明、补正、递交、撤回、修改</w:t>
      </w:r>
      <w:r>
        <w:rPr>
          <w:rFonts w:hint="eastAsia" w:ascii="宋体" w:hAnsi="宋体" w:cs="宋体"/>
          <w:color w:val="auto"/>
          <w:kern w:val="0"/>
          <w:highlight w:val="none"/>
          <w:u w:val="single"/>
        </w:rPr>
        <w:t xml:space="preserve">        （项目名称）       </w:t>
      </w:r>
      <w:r>
        <w:rPr>
          <w:rFonts w:hint="eastAsia" w:ascii="宋体" w:hAnsi="宋体" w:cs="宋体"/>
          <w:color w:val="auto"/>
          <w:kern w:val="0"/>
          <w:highlight w:val="none"/>
        </w:rPr>
        <w:t>施工投标文件、签订合同和处理有关异议、质疑和投诉事宜，其法律后果由我方承担。</w:t>
      </w:r>
    </w:p>
    <w:p w14:paraId="46D07CFD">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委托期限：</w:t>
      </w:r>
      <w:r>
        <w:rPr>
          <w:rFonts w:hint="eastAsia" w:ascii="宋体" w:hAnsi="宋体" w:cs="宋体"/>
          <w:color w:val="auto"/>
          <w:kern w:val="0"/>
          <w:highlight w:val="none"/>
          <w:u w:val="single"/>
          <w:lang w:val="en-US" w:eastAsia="zh-CN"/>
        </w:rPr>
        <w:t xml:space="preserve">       （不少于投标有效期）            </w:t>
      </w:r>
      <w:r>
        <w:rPr>
          <w:rFonts w:hint="eastAsia" w:ascii="宋体" w:hAnsi="宋体" w:cs="宋体"/>
          <w:color w:val="auto"/>
          <w:kern w:val="0"/>
          <w:highlight w:val="none"/>
        </w:rPr>
        <w:t>。</w:t>
      </w:r>
    </w:p>
    <w:p w14:paraId="628BBC96">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代理人无转委托权。</w:t>
      </w:r>
    </w:p>
    <w:p w14:paraId="7365216E">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附：法定代表人身份证明</w:t>
      </w:r>
    </w:p>
    <w:p w14:paraId="352B3E06">
      <w:pPr>
        <w:autoSpaceDE w:val="0"/>
        <w:autoSpaceDN w:val="0"/>
        <w:adjustRightInd w:val="0"/>
        <w:spacing w:line="420" w:lineRule="exact"/>
        <w:ind w:firstLine="420" w:firstLineChars="200"/>
        <w:jc w:val="left"/>
        <w:rPr>
          <w:rFonts w:ascii="宋体" w:hAnsi="宋体" w:cs="宋体"/>
          <w:color w:val="auto"/>
          <w:kern w:val="0"/>
          <w:highlight w:val="none"/>
        </w:rPr>
      </w:pPr>
    </w:p>
    <w:p w14:paraId="14242987">
      <w:pPr>
        <w:autoSpaceDE w:val="0"/>
        <w:autoSpaceDN w:val="0"/>
        <w:adjustRightInd w:val="0"/>
        <w:spacing w:line="420" w:lineRule="exact"/>
        <w:ind w:firstLine="420" w:firstLineChars="200"/>
        <w:jc w:val="left"/>
        <w:rPr>
          <w:rFonts w:ascii="宋体" w:hAnsi="宋体" w:cs="宋体"/>
          <w:color w:val="auto"/>
          <w:kern w:val="0"/>
          <w:highlight w:val="none"/>
        </w:rPr>
      </w:pPr>
    </w:p>
    <w:p w14:paraId="1C3BC58F">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投标人：（盖单位章）</w:t>
      </w:r>
    </w:p>
    <w:p w14:paraId="0900B45E">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法定代表人： （签字）</w:t>
      </w:r>
    </w:p>
    <w:p w14:paraId="1C1064F5">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身份证号码：</w:t>
      </w:r>
    </w:p>
    <w:p w14:paraId="5405034A">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委托代理人： （签字）</w:t>
      </w:r>
    </w:p>
    <w:p w14:paraId="496221B4">
      <w:pPr>
        <w:autoSpaceDE w:val="0"/>
        <w:autoSpaceDN w:val="0"/>
        <w:adjustRightInd w:val="0"/>
        <w:spacing w:line="420" w:lineRule="exact"/>
        <w:ind w:firstLine="3238" w:firstLineChars="1542"/>
        <w:jc w:val="left"/>
        <w:rPr>
          <w:rFonts w:ascii="宋体" w:hAnsi="宋体" w:cs="宋体"/>
          <w:color w:val="auto"/>
          <w:kern w:val="0"/>
          <w:highlight w:val="none"/>
        </w:rPr>
      </w:pPr>
      <w:r>
        <w:rPr>
          <w:rFonts w:hint="eastAsia" w:ascii="宋体" w:hAnsi="宋体" w:cs="宋体"/>
          <w:color w:val="auto"/>
          <w:kern w:val="0"/>
          <w:highlight w:val="none"/>
        </w:rPr>
        <w:t>身份证号码：</w:t>
      </w:r>
    </w:p>
    <w:p w14:paraId="45909DA8">
      <w:pPr>
        <w:autoSpaceDE w:val="0"/>
        <w:autoSpaceDN w:val="0"/>
        <w:adjustRightInd w:val="0"/>
        <w:spacing w:line="420" w:lineRule="exact"/>
        <w:ind w:firstLine="3238" w:firstLineChars="1542"/>
        <w:jc w:val="left"/>
        <w:rPr>
          <w:rFonts w:ascii="宋体" w:hAnsi="宋体" w:cs="宋体"/>
          <w:color w:val="auto"/>
          <w:kern w:val="0"/>
          <w:highlight w:val="none"/>
        </w:rPr>
      </w:pPr>
      <w:bookmarkStart w:id="374" w:name="_Toc302402799"/>
      <w:bookmarkStart w:id="375" w:name="_Toc231542054"/>
      <w:bookmarkStart w:id="376" w:name="_Toc302986294"/>
      <w:bookmarkStart w:id="377" w:name="_Toc228695211"/>
      <w:bookmarkStart w:id="378" w:name="_Toc286251950"/>
      <w:r>
        <w:rPr>
          <w:rFonts w:hint="eastAsia" w:ascii="宋体" w:hAnsi="宋体" w:cs="宋体"/>
          <w:color w:val="auto"/>
          <w:kern w:val="0"/>
          <w:highlight w:val="none"/>
          <w:lang w:val="en-US" w:eastAsia="zh-CN"/>
        </w:rPr>
        <w:t xml:space="preserve">日期：    </w:t>
      </w:r>
      <w:r>
        <w:rPr>
          <w:rFonts w:hint="eastAsia" w:ascii="宋体" w:hAnsi="宋体" w:cs="宋体"/>
          <w:color w:val="auto"/>
          <w:kern w:val="0"/>
          <w:highlight w:val="none"/>
        </w:rPr>
        <w:t>年</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 xml:space="preserve">月 </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日</w:t>
      </w:r>
    </w:p>
    <w:p w14:paraId="69603814">
      <w:pPr>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br w:type="page"/>
      </w:r>
    </w:p>
    <w:p w14:paraId="17D8F755">
      <w:pPr>
        <w:autoSpaceDE w:val="0"/>
        <w:autoSpaceDN w:val="0"/>
        <w:adjustRightInd w:val="0"/>
        <w:spacing w:line="420" w:lineRule="exact"/>
        <w:jc w:val="center"/>
        <w:outlineLvl w:val="1"/>
        <w:rPr>
          <w:rFonts w:hint="eastAsia" w:ascii="宋体" w:hAnsi="宋体" w:eastAsia="宋体" w:cs="宋体"/>
          <w:b/>
          <w:color w:val="auto"/>
          <w:kern w:val="0"/>
          <w:sz w:val="32"/>
          <w:highlight w:val="none"/>
        </w:rPr>
      </w:pPr>
      <w:r>
        <w:rPr>
          <w:rFonts w:hint="eastAsia" w:ascii="宋体" w:hAnsi="宋体" w:eastAsia="宋体" w:cs="宋体"/>
          <w:b/>
          <w:color w:val="auto"/>
          <w:kern w:val="0"/>
          <w:sz w:val="32"/>
          <w:highlight w:val="none"/>
        </w:rPr>
        <w:t>四、投标保证金</w:t>
      </w:r>
      <w:bookmarkEnd w:id="374"/>
      <w:bookmarkEnd w:id="375"/>
      <w:bookmarkEnd w:id="376"/>
      <w:bookmarkEnd w:id="377"/>
      <w:bookmarkEnd w:id="378"/>
    </w:p>
    <w:p w14:paraId="05258D7F">
      <w:pPr>
        <w:pStyle w:val="24"/>
        <w:spacing w:line="420" w:lineRule="exact"/>
        <w:rPr>
          <w:rFonts w:ascii="宋体" w:hAnsi="宋体" w:cs="宋体"/>
          <w:color w:val="auto"/>
          <w:highlight w:val="none"/>
        </w:rPr>
      </w:pPr>
    </w:p>
    <w:p w14:paraId="7F81D2DC">
      <w:pPr>
        <w:autoSpaceDE w:val="0"/>
        <w:autoSpaceDN w:val="0"/>
        <w:adjustRightInd w:val="0"/>
        <w:spacing w:line="420" w:lineRule="exact"/>
        <w:jc w:val="left"/>
        <w:rPr>
          <w:rFonts w:ascii="宋体" w:hAnsi="宋体" w:cs="宋体"/>
          <w:color w:val="auto"/>
          <w:kern w:val="0"/>
          <w:highlight w:val="none"/>
        </w:rPr>
      </w:pPr>
      <w:r>
        <w:rPr>
          <w:rFonts w:hint="eastAsia" w:ascii="宋体" w:hAnsi="宋体" w:cs="宋体"/>
          <w:color w:val="auto"/>
          <w:kern w:val="0"/>
          <w:highlight w:val="none"/>
        </w:rPr>
        <w:t>（招标人名称）：</w:t>
      </w:r>
    </w:p>
    <w:p w14:paraId="75C7A173">
      <w:pPr>
        <w:autoSpaceDE w:val="0"/>
        <w:autoSpaceDN w:val="0"/>
        <w:adjustRightInd w:val="0"/>
        <w:spacing w:line="420" w:lineRule="exact"/>
        <w:jc w:val="left"/>
        <w:rPr>
          <w:rFonts w:ascii="宋体" w:hAnsi="宋体" w:cs="宋体"/>
          <w:color w:val="auto"/>
          <w:kern w:val="0"/>
          <w:highlight w:val="none"/>
        </w:rPr>
      </w:pPr>
    </w:p>
    <w:p w14:paraId="1C944435">
      <w:pPr>
        <w:autoSpaceDE w:val="0"/>
        <w:autoSpaceDN w:val="0"/>
        <w:adjustRightInd w:val="0"/>
        <w:spacing w:line="42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我方已按招标文件的规定，递交了投标保证金。我公司在规定的投标文件有效期内撤销或修改投标文件，或者在收到中标通知书后无正当理由拒签合同，贵方可以不予退还我方保证金，我方对此无异议。</w:t>
      </w:r>
    </w:p>
    <w:p w14:paraId="17FA9172">
      <w:pPr>
        <w:autoSpaceDE w:val="0"/>
        <w:autoSpaceDN w:val="0"/>
        <w:adjustRightInd w:val="0"/>
        <w:spacing w:line="420" w:lineRule="exact"/>
        <w:jc w:val="left"/>
        <w:rPr>
          <w:rFonts w:ascii="宋体" w:hAnsi="宋体" w:cs="宋体"/>
          <w:color w:val="auto"/>
          <w:kern w:val="0"/>
          <w:highlight w:val="none"/>
        </w:rPr>
      </w:pPr>
    </w:p>
    <w:p w14:paraId="54820FE7">
      <w:pPr>
        <w:autoSpaceDE w:val="0"/>
        <w:autoSpaceDN w:val="0"/>
        <w:adjustRightInd w:val="0"/>
        <w:spacing w:line="420" w:lineRule="exact"/>
        <w:jc w:val="left"/>
        <w:rPr>
          <w:rFonts w:ascii="宋体" w:hAnsi="宋体" w:cs="宋体"/>
          <w:color w:val="auto"/>
          <w:kern w:val="0"/>
          <w:highlight w:val="none"/>
        </w:rPr>
      </w:pPr>
    </w:p>
    <w:p w14:paraId="2EC0A8E9">
      <w:pPr>
        <w:autoSpaceDE w:val="0"/>
        <w:autoSpaceDN w:val="0"/>
        <w:adjustRightInd w:val="0"/>
        <w:spacing w:line="420" w:lineRule="exact"/>
        <w:jc w:val="left"/>
        <w:rPr>
          <w:rFonts w:ascii="宋体" w:hAnsi="宋体" w:cs="宋体"/>
          <w:color w:val="auto"/>
          <w:kern w:val="0"/>
          <w:highlight w:val="none"/>
        </w:rPr>
      </w:pPr>
    </w:p>
    <w:p w14:paraId="0885ADD5">
      <w:pPr>
        <w:autoSpaceDE w:val="0"/>
        <w:autoSpaceDN w:val="0"/>
        <w:adjustRightInd w:val="0"/>
        <w:spacing w:line="420" w:lineRule="exact"/>
        <w:jc w:val="right"/>
        <w:rPr>
          <w:rFonts w:ascii="宋体" w:hAnsi="宋体" w:cs="宋体"/>
          <w:color w:val="auto"/>
          <w:kern w:val="0"/>
          <w:highlight w:val="none"/>
        </w:rPr>
      </w:pPr>
      <w:r>
        <w:rPr>
          <w:rFonts w:hint="eastAsia" w:ascii="宋体" w:hAnsi="宋体" w:cs="宋体"/>
          <w:color w:val="auto"/>
          <w:kern w:val="0"/>
          <w:highlight w:val="none"/>
        </w:rPr>
        <w:t>投标人名称： （盖单位章）</w:t>
      </w:r>
    </w:p>
    <w:p w14:paraId="09BD6F96">
      <w:pPr>
        <w:autoSpaceDE w:val="0"/>
        <w:autoSpaceDN w:val="0"/>
        <w:adjustRightInd w:val="0"/>
        <w:spacing w:line="420" w:lineRule="exact"/>
        <w:jc w:val="right"/>
        <w:rPr>
          <w:rFonts w:ascii="宋体" w:hAnsi="宋体" w:cs="宋体"/>
          <w:color w:val="auto"/>
          <w:kern w:val="0"/>
          <w:highlight w:val="none"/>
        </w:rPr>
      </w:pPr>
      <w:r>
        <w:rPr>
          <w:rFonts w:hint="eastAsia" w:ascii="宋体" w:hAnsi="宋体" w:cs="宋体"/>
          <w:color w:val="auto"/>
          <w:kern w:val="0"/>
          <w:highlight w:val="none"/>
        </w:rPr>
        <w:t>法定代表人或其委托代理人： （签字）</w:t>
      </w:r>
    </w:p>
    <w:p w14:paraId="2A795235">
      <w:pPr>
        <w:autoSpaceDE w:val="0"/>
        <w:autoSpaceDN w:val="0"/>
        <w:adjustRightInd w:val="0"/>
        <w:spacing w:line="420" w:lineRule="exact"/>
        <w:ind w:firstLine="8055" w:firstLineChars="3836"/>
        <w:jc w:val="left"/>
        <w:rPr>
          <w:rFonts w:ascii="宋体" w:hAnsi="宋体" w:cs="宋体"/>
          <w:color w:val="auto"/>
          <w:kern w:val="0"/>
          <w:highlight w:val="none"/>
        </w:rPr>
      </w:pPr>
      <w:r>
        <w:rPr>
          <w:rFonts w:hint="eastAsia" w:ascii="宋体" w:hAnsi="宋体" w:cs="宋体"/>
          <w:color w:val="auto"/>
          <w:kern w:val="0"/>
          <w:highlight w:val="none"/>
        </w:rPr>
        <w:t>年 月 日</w:t>
      </w:r>
    </w:p>
    <w:p w14:paraId="5D1A005F">
      <w:pPr>
        <w:rPr>
          <w:rFonts w:hint="eastAsia" w:ascii="宋体" w:hAnsi="宋体" w:cs="宋体"/>
          <w:b/>
          <w:color w:val="auto"/>
          <w:kern w:val="0"/>
          <w:sz w:val="32"/>
          <w:highlight w:val="none"/>
          <w:lang w:val="en-US" w:eastAsia="zh-CN"/>
        </w:rPr>
      </w:pPr>
      <w:bookmarkStart w:id="379" w:name="_Toc31943"/>
      <w:r>
        <w:rPr>
          <w:rFonts w:hint="eastAsia" w:ascii="宋体" w:hAnsi="宋体" w:cs="宋体"/>
          <w:b/>
          <w:color w:val="auto"/>
          <w:kern w:val="0"/>
          <w:sz w:val="32"/>
          <w:highlight w:val="none"/>
          <w:lang w:val="en-US" w:eastAsia="zh-CN"/>
        </w:rPr>
        <w:t>附投标保证金缴款回执</w:t>
      </w:r>
      <w:r>
        <w:rPr>
          <w:rFonts w:hint="eastAsia" w:ascii="宋体" w:hAnsi="宋体" w:cs="宋体"/>
          <w:b/>
          <w:color w:val="auto"/>
          <w:kern w:val="0"/>
          <w:sz w:val="32"/>
          <w:highlight w:val="none"/>
          <w:lang w:val="en-US" w:eastAsia="zh-CN"/>
        </w:rPr>
        <w:br w:type="page"/>
      </w:r>
    </w:p>
    <w:p w14:paraId="3E756A6C">
      <w:pPr>
        <w:autoSpaceDE w:val="0"/>
        <w:autoSpaceDN w:val="0"/>
        <w:adjustRightInd w:val="0"/>
        <w:spacing w:line="420" w:lineRule="exact"/>
        <w:jc w:val="center"/>
        <w:outlineLvl w:val="1"/>
        <w:rPr>
          <w:rFonts w:hint="eastAsia" w:ascii="宋体" w:hAnsi="宋体" w:cs="宋体"/>
          <w:b/>
          <w:color w:val="auto"/>
          <w:kern w:val="0"/>
          <w:sz w:val="32"/>
          <w:highlight w:val="none"/>
          <w:lang w:eastAsia="zh-CN"/>
        </w:rPr>
      </w:pPr>
      <w:r>
        <w:rPr>
          <w:rFonts w:hint="eastAsia" w:ascii="宋体" w:hAnsi="宋体" w:cs="宋体"/>
          <w:b/>
          <w:color w:val="auto"/>
          <w:kern w:val="0"/>
          <w:sz w:val="32"/>
          <w:highlight w:val="none"/>
          <w:lang w:val="en-US" w:eastAsia="zh-CN"/>
        </w:rPr>
        <w:t>五</w:t>
      </w:r>
      <w:r>
        <w:rPr>
          <w:rFonts w:hint="eastAsia" w:ascii="宋体" w:hAnsi="宋体" w:cs="宋体"/>
          <w:b/>
          <w:color w:val="auto"/>
          <w:kern w:val="0"/>
          <w:sz w:val="32"/>
          <w:highlight w:val="none"/>
        </w:rPr>
        <w:t>、资格</w:t>
      </w:r>
      <w:r>
        <w:rPr>
          <w:rFonts w:hint="eastAsia" w:ascii="宋体" w:hAnsi="宋体" w:cs="宋体"/>
          <w:b/>
          <w:color w:val="auto"/>
          <w:kern w:val="0"/>
          <w:sz w:val="32"/>
          <w:highlight w:val="none"/>
          <w:lang w:val="en-US" w:eastAsia="zh-CN"/>
        </w:rPr>
        <w:t>审查资料</w:t>
      </w:r>
      <w:bookmarkEnd w:id="379"/>
    </w:p>
    <w:p w14:paraId="7F160018">
      <w:pPr>
        <w:spacing w:line="500" w:lineRule="exact"/>
        <w:ind w:left="-7" w:right="68"/>
        <w:jc w:val="center"/>
        <w:rPr>
          <w:rFonts w:ascii="宋体" w:hAnsi="宋体" w:cs="宋体"/>
          <w:color w:val="auto"/>
          <w:sz w:val="28"/>
          <w:szCs w:val="28"/>
          <w:highlight w:val="none"/>
        </w:rPr>
      </w:pPr>
    </w:p>
    <w:p w14:paraId="3B7E6DEA">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1、企业法人营业执照；</w:t>
      </w:r>
    </w:p>
    <w:p w14:paraId="7681E44C">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2、企业资质证书副本；</w:t>
      </w:r>
    </w:p>
    <w:p w14:paraId="0AA7C458">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3、企业安全生产许可证副本；</w:t>
      </w:r>
    </w:p>
    <w:p w14:paraId="432D7264">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rPr>
        <w:t>4、项目经理建造师注册证书；</w:t>
      </w:r>
    </w:p>
    <w:p w14:paraId="748293FD">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5、项目经理B类安全生产考核合格证；</w:t>
      </w:r>
    </w:p>
    <w:p w14:paraId="7A368F1B">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color w:val="auto"/>
          <w:highlight w:val="none"/>
        </w:rPr>
      </w:pPr>
      <w:r>
        <w:rPr>
          <w:rFonts w:hint="eastAsia" w:ascii="宋体" w:hAnsi="宋体" w:cs="宋体"/>
          <w:color w:val="auto"/>
          <w:kern w:val="0"/>
          <w:szCs w:val="21"/>
          <w:highlight w:val="none"/>
        </w:rPr>
        <w:t>6、项目经理及授权委托人（如果有）养老保险证明；</w:t>
      </w:r>
    </w:p>
    <w:p w14:paraId="5589422D">
      <w:pPr>
        <w:keepNext w:val="0"/>
        <w:keepLines w:val="0"/>
        <w:pageBreakBefore w:val="0"/>
        <w:widowControl w:val="0"/>
        <w:kinsoku/>
        <w:wordWrap/>
        <w:overflowPunct/>
        <w:topLinePunct w:val="0"/>
        <w:autoSpaceDE w:val="0"/>
        <w:autoSpaceDN w:val="0"/>
        <w:bidi w:val="0"/>
        <w:adjustRightInd w:val="0"/>
        <w:snapToGrid/>
        <w:spacing w:line="420" w:lineRule="exact"/>
        <w:ind w:firstLine="420" w:firstLineChars="200"/>
        <w:jc w:val="left"/>
        <w:textAlignment w:val="auto"/>
        <w:outlineLvl w:val="9"/>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7</w:t>
      </w:r>
      <w:r>
        <w:rPr>
          <w:rFonts w:hint="eastAsia" w:ascii="宋体" w:hAnsi="宋体" w:cs="宋体"/>
          <w:color w:val="auto"/>
          <w:kern w:val="0"/>
          <w:szCs w:val="21"/>
          <w:highlight w:val="none"/>
        </w:rPr>
        <w:t>、企业银行基本开户许可证</w:t>
      </w:r>
      <w:r>
        <w:rPr>
          <w:rFonts w:hint="eastAsia" w:ascii="宋体" w:hAnsi="宋体" w:cs="宋体"/>
          <w:color w:val="auto"/>
          <w:kern w:val="0"/>
          <w:szCs w:val="21"/>
          <w:highlight w:val="none"/>
          <w:lang w:eastAsia="zh-CN"/>
        </w:rPr>
        <w:t>复印件（</w:t>
      </w:r>
      <w:r>
        <w:rPr>
          <w:rFonts w:hint="eastAsia" w:ascii="宋体" w:hAnsi="宋体" w:cs="宋体"/>
          <w:color w:val="auto"/>
          <w:kern w:val="0"/>
          <w:szCs w:val="21"/>
          <w:highlight w:val="none"/>
          <w:lang w:val="en-US" w:eastAsia="zh-CN"/>
        </w:rPr>
        <w:t>或企业银行基本存款账户开户基本信息）加盖投标人单位公章</w:t>
      </w:r>
      <w:r>
        <w:rPr>
          <w:rFonts w:hint="eastAsia" w:ascii="宋体" w:hAnsi="宋体" w:cs="宋体"/>
          <w:color w:val="auto"/>
          <w:kern w:val="0"/>
          <w:szCs w:val="21"/>
          <w:highlight w:val="none"/>
        </w:rPr>
        <w:t>。</w:t>
      </w:r>
    </w:p>
    <w:p w14:paraId="6C57485A">
      <w:pPr>
        <w:rPr>
          <w:rFonts w:ascii="宋体" w:hAnsi="宋体" w:cs="宋体"/>
          <w:color w:val="auto"/>
          <w:kern w:val="0"/>
          <w:szCs w:val="21"/>
          <w:highlight w:val="none"/>
        </w:rPr>
      </w:pPr>
    </w:p>
    <w:p w14:paraId="008C6F27">
      <w:pPr>
        <w:ind w:firstLine="422" w:firstLineChars="200"/>
        <w:rPr>
          <w:color w:val="auto"/>
          <w:highlight w:val="none"/>
        </w:rPr>
      </w:pPr>
      <w:r>
        <w:rPr>
          <w:rFonts w:hint="eastAsia" w:ascii="宋体" w:hAnsi="宋体" w:cs="宋体"/>
          <w:b/>
          <w:bCs/>
          <w:color w:val="auto"/>
          <w:kern w:val="0"/>
          <w:szCs w:val="21"/>
          <w:highlight w:val="none"/>
        </w:rPr>
        <w:t>上述材料复印件加盖公章</w:t>
      </w:r>
      <w:r>
        <w:rPr>
          <w:rFonts w:hint="eastAsia" w:ascii="宋体" w:hAnsi="宋体" w:cs="宋体"/>
          <w:b/>
          <w:bCs/>
          <w:color w:val="auto"/>
          <w:kern w:val="0"/>
          <w:szCs w:val="21"/>
          <w:highlight w:val="none"/>
          <w:lang w:eastAsia="zh-CN"/>
        </w:rPr>
        <w:t>，否则资格审查不予通过</w:t>
      </w:r>
      <w:r>
        <w:rPr>
          <w:rFonts w:hint="eastAsia" w:ascii="宋体" w:hAnsi="宋体" w:cs="宋体"/>
          <w:b/>
          <w:bCs/>
          <w:color w:val="auto"/>
          <w:kern w:val="0"/>
          <w:szCs w:val="21"/>
          <w:highlight w:val="none"/>
        </w:rPr>
        <w:t>。</w:t>
      </w:r>
    </w:p>
    <w:p w14:paraId="687C05BA">
      <w:pPr>
        <w:rPr>
          <w:rFonts w:hint="eastAsia" w:ascii="宋体" w:hAnsi="宋体" w:cs="宋体"/>
          <w:color w:val="auto"/>
          <w:kern w:val="0"/>
          <w:sz w:val="28"/>
          <w:highlight w:val="none"/>
        </w:rPr>
      </w:pPr>
    </w:p>
    <w:p w14:paraId="3F970236">
      <w:pPr>
        <w:rPr>
          <w:rFonts w:hint="eastAsia" w:ascii="宋体" w:hAnsi="宋体" w:cs="宋体"/>
          <w:color w:val="auto"/>
          <w:kern w:val="0"/>
          <w:sz w:val="28"/>
          <w:highlight w:val="none"/>
        </w:rPr>
      </w:pPr>
      <w:r>
        <w:rPr>
          <w:rFonts w:hint="eastAsia" w:ascii="宋体" w:hAnsi="宋体" w:cs="宋体"/>
          <w:color w:val="auto"/>
          <w:kern w:val="0"/>
          <w:sz w:val="28"/>
          <w:highlight w:val="none"/>
        </w:rPr>
        <w:br w:type="page"/>
      </w:r>
    </w:p>
    <w:p w14:paraId="1E1C906B">
      <w:pPr>
        <w:autoSpaceDE w:val="0"/>
        <w:autoSpaceDN w:val="0"/>
        <w:adjustRightInd w:val="0"/>
        <w:spacing w:line="420" w:lineRule="exact"/>
        <w:jc w:val="center"/>
        <w:outlineLvl w:val="1"/>
        <w:rPr>
          <w:rFonts w:hint="eastAsia" w:ascii="宋体" w:hAnsi="宋体" w:cs="宋体"/>
          <w:b/>
          <w:color w:val="auto"/>
          <w:kern w:val="0"/>
          <w:sz w:val="32"/>
          <w:highlight w:val="none"/>
        </w:rPr>
      </w:pPr>
      <w:bookmarkStart w:id="380" w:name="_Toc14050"/>
      <w:r>
        <w:rPr>
          <w:rFonts w:hint="eastAsia" w:ascii="宋体" w:hAnsi="宋体" w:cs="宋体"/>
          <w:b/>
          <w:color w:val="auto"/>
          <w:kern w:val="0"/>
          <w:sz w:val="32"/>
          <w:highlight w:val="none"/>
          <w:lang w:val="en-US" w:eastAsia="zh-CN"/>
        </w:rPr>
        <w:t>六</w:t>
      </w:r>
      <w:r>
        <w:rPr>
          <w:rFonts w:hint="eastAsia" w:ascii="宋体" w:hAnsi="宋体" w:cs="宋体"/>
          <w:b/>
          <w:color w:val="auto"/>
          <w:kern w:val="0"/>
          <w:sz w:val="32"/>
          <w:highlight w:val="none"/>
        </w:rPr>
        <w:t>、已标价工程量清单</w:t>
      </w:r>
      <w:bookmarkEnd w:id="380"/>
    </w:p>
    <w:p w14:paraId="69E3E4D9">
      <w:pPr>
        <w:ind w:firstLine="315" w:firstLineChars="150"/>
        <w:rPr>
          <w:color w:val="auto"/>
          <w:highlight w:val="none"/>
        </w:rPr>
      </w:pPr>
    </w:p>
    <w:sectPr>
      <w:footerReference r:id="rId8" w:type="default"/>
      <w:pgSz w:w="11906" w:h="16838"/>
      <w:pgMar w:top="1418" w:right="1361"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FangSong_GB2312">
    <w:altName w:val="仿宋"/>
    <w:panose1 w:val="02010609060101010101"/>
    <w:charset w:val="00"/>
    <w:family w:val="roman"/>
    <w:pitch w:val="default"/>
    <w:sig w:usb0="00000000" w:usb1="00000000" w:usb2="00000000" w:usb3="00000000" w:csb0="00000000" w:csb1="0000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DECFD">
    <w:pPr>
      <w:pStyle w:val="10"/>
      <w:rPr>
        <w:rStyle w:val="17"/>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368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303D2E6"/>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59264;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hKHY1AAAAAMBAAAPAAAAAAAA&#10;AAEAIAAAACIAAABkcnMvZG93bnJldi54bWxQSwECFAAUAAAACACHTuJAf2JAR90BAACvAwAADgAA&#10;AAAAAAABACAAAAAjAQAAZHJzL2Uyb0RvYy54bWxQSwUGAAAAAAYABgBZAQAAcgUAAAAA&#10;">
              <v:fill on="f" focussize="0,0"/>
              <v:stroke on="f" weight="1.25pt"/>
              <v:imagedata o:title=""/>
              <o:lock v:ext="edit" aspectratio="f"/>
              <v:textbox inset="0mm,0mm,0mm,0mm" style="mso-fit-shape-to-text:t;">
                <w:txbxContent>
                  <w:p w14:paraId="7303D2E6"/>
                </w:txbxContent>
              </v:textbox>
            </v:shape>
          </w:pict>
        </mc:Fallback>
      </mc:AlternateContent>
    </w:r>
  </w:p>
  <w:p w14:paraId="3092302C">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25A54">
    <w:pPr>
      <w:pStyle w:val="7"/>
      <w:spacing w:line="14" w:lineRule="auto"/>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F0A5887">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vRhB/RAQAAow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VsskliM3SYrDtthorZ17RGZ&#10;9bgCDbW48ZToLxYVTtsyG2E2trOx90HturxOqRXwN/uI7eQuU4URdiqMs8s8pz1Ly/HUz1mP/9b6&#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b0YQf0QEAAKMDAAAOAAAAAAAAAAEAIAAAACIB&#10;AABkcnMvZTJvRG9jLnhtbFBLBQYAAAAABgAGAFkBAABlBQAAAAA=&#10;">
              <v:fill on="f" focussize="0,0"/>
              <v:stroke on="f" weight="1.25pt"/>
              <v:imagedata o:title=""/>
              <o:lock v:ext="edit" aspectratio="f"/>
              <v:textbox inset="0mm,0mm,0mm,0mm" style="mso-fit-shape-to-text:t;">
                <w:txbxContent>
                  <w:p w14:paraId="7F0A5887">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C7FF0">
    <w:pPr>
      <w:pStyle w:val="10"/>
      <w:rPr>
        <w:rStyle w:val="17"/>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0C7C7C">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70C7C7C">
                    <w:pPr>
                      <w:pStyle w:val="10"/>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23368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14935" cy="233680"/>
                      </a:xfrm>
                      <a:prstGeom prst="rect">
                        <a:avLst/>
                      </a:prstGeom>
                      <a:noFill/>
                      <a:ln w="15875">
                        <a:noFill/>
                      </a:ln>
                      <a:effectLst/>
                    </wps:spPr>
                    <wps:txbx>
                      <w:txbxContent>
                        <w:p w14:paraId="756E3218"/>
                      </w:txbxContent>
                    </wps:txbx>
                    <wps:bodyPr wrap="none" lIns="0" tIns="0" rIns="0" bIns="0" upright="0">
                      <a:spAutoFit/>
                    </wps:bodyPr>
                  </wps:wsp>
                </a:graphicData>
              </a:graphic>
            </wp:anchor>
          </w:drawing>
        </mc:Choice>
        <mc:Fallback>
          <w:pict>
            <v:shape id="文本框 1" o:spid="_x0000_s1026" o:spt="202" type="#_x0000_t202" style="position:absolute;left:0pt;margin-top:0pt;height:18.4pt;width:9.05pt;mso-position-horizontal:center;mso-position-horizontal-relative:margin;mso-wrap-style:none;z-index:251660288;mso-width-relative:page;mso-height-relative:page;" filled="f" stroked="f" coordsize="21600,21600" o:gfxdata="UEsDBAoAAAAAAIdO4kAAAAAAAAAAAAAAAAAEAAAAZHJzL1BLAwQUAAAACACHTuJAxYSh2N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FhKHY1AAAAAMBAAAPAAAAAAAA&#10;AAEAIAAAACIAAABkcnMvZG93bnJldi54bWxQSwECFAAUAAAACACHTuJAFSYg1N0BAACvAwAADgAA&#10;AAAAAAABACAAAAAjAQAAZHJzL2Uyb0RvYy54bWxQSwUGAAAAAAYABgBZAQAAcgUAAAAA&#10;">
              <v:fill on="f" focussize="0,0"/>
              <v:stroke on="f" weight="1.25pt"/>
              <v:imagedata o:title=""/>
              <o:lock v:ext="edit" aspectratio="f"/>
              <v:textbox inset="0mm,0mm,0mm,0mm" style="mso-fit-shape-to-text:t;">
                <w:txbxContent>
                  <w:p w14:paraId="756E3218"/>
                </w:txbxContent>
              </v:textbox>
            </v:shape>
          </w:pict>
        </mc:Fallback>
      </mc:AlternateContent>
    </w:r>
  </w:p>
  <w:p w14:paraId="0B849E3D">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24EFC">
    <w:pPr>
      <w:pStyle w:val="21"/>
      <w:snapToGrid w:val="0"/>
      <w:spacing w:before="0" w:beforeAutospacing="0" w:after="0" w:afterAutospacing="0" w:line="5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5CD0A">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D969A">
    <w:pPr>
      <w:pStyle w:val="7"/>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F98256"/>
    <w:multiLevelType w:val="singleLevel"/>
    <w:tmpl w:val="83F98256"/>
    <w:lvl w:ilvl="0" w:tentative="0">
      <w:start w:val="2"/>
      <w:numFmt w:val="chineseCounting"/>
      <w:suff w:val="space"/>
      <w:lvlText w:val="第%1节"/>
      <w:lvlJc w:val="left"/>
      <w:rPr>
        <w:rFonts w:hint="eastAsia"/>
      </w:rPr>
    </w:lvl>
  </w:abstractNum>
  <w:abstractNum w:abstractNumId="1">
    <w:nsid w:val="C1B15FD0"/>
    <w:multiLevelType w:val="singleLevel"/>
    <w:tmpl w:val="C1B15FD0"/>
    <w:lvl w:ilvl="0" w:tentative="0">
      <w:start w:val="1"/>
      <w:numFmt w:val="decimal"/>
      <w:suff w:val="nothing"/>
      <w:lvlText w:val="（%1）"/>
      <w:lvlJc w:val="left"/>
    </w:lvl>
  </w:abstractNum>
  <w:abstractNum w:abstractNumId="2">
    <w:nsid w:val="7B5236E1"/>
    <w:multiLevelType w:val="singleLevel"/>
    <w:tmpl w:val="7B5236E1"/>
    <w:lvl w:ilvl="0" w:tentative="0">
      <w:start w:val="5"/>
      <w:numFmt w:val="chineseCounting"/>
      <w:suff w:val="space"/>
      <w:lvlText w:val="第%1章"/>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MmEyNDQ4NzAxYmRkNmJmMzJmOGY5YWZlNDExZTYifQ=="/>
  </w:docVars>
  <w:rsids>
    <w:rsidRoot w:val="22C95D83"/>
    <w:rsid w:val="00021DAD"/>
    <w:rsid w:val="0002335F"/>
    <w:rsid w:val="00037981"/>
    <w:rsid w:val="00054A6B"/>
    <w:rsid w:val="000805EC"/>
    <w:rsid w:val="00083E62"/>
    <w:rsid w:val="000A59B8"/>
    <w:rsid w:val="000C13AE"/>
    <w:rsid w:val="001018BF"/>
    <w:rsid w:val="001129BD"/>
    <w:rsid w:val="0011316D"/>
    <w:rsid w:val="001346D0"/>
    <w:rsid w:val="00134CFB"/>
    <w:rsid w:val="00146677"/>
    <w:rsid w:val="001474C6"/>
    <w:rsid w:val="00165EB0"/>
    <w:rsid w:val="001810FB"/>
    <w:rsid w:val="00191B44"/>
    <w:rsid w:val="001A18DA"/>
    <w:rsid w:val="001A2F88"/>
    <w:rsid w:val="001B2148"/>
    <w:rsid w:val="001B49CD"/>
    <w:rsid w:val="001C66E2"/>
    <w:rsid w:val="001D433A"/>
    <w:rsid w:val="00202B00"/>
    <w:rsid w:val="00217F44"/>
    <w:rsid w:val="00224326"/>
    <w:rsid w:val="0022508C"/>
    <w:rsid w:val="0025339B"/>
    <w:rsid w:val="002644E5"/>
    <w:rsid w:val="0027515C"/>
    <w:rsid w:val="002A610C"/>
    <w:rsid w:val="002A6348"/>
    <w:rsid w:val="002B21BC"/>
    <w:rsid w:val="002D0840"/>
    <w:rsid w:val="002D14A6"/>
    <w:rsid w:val="002D3603"/>
    <w:rsid w:val="002F7959"/>
    <w:rsid w:val="002F7A06"/>
    <w:rsid w:val="00312E57"/>
    <w:rsid w:val="0031415C"/>
    <w:rsid w:val="0032453D"/>
    <w:rsid w:val="00342639"/>
    <w:rsid w:val="003658A2"/>
    <w:rsid w:val="00375DCF"/>
    <w:rsid w:val="00393432"/>
    <w:rsid w:val="00394A79"/>
    <w:rsid w:val="00397CA1"/>
    <w:rsid w:val="003A25B5"/>
    <w:rsid w:val="003A3F97"/>
    <w:rsid w:val="003B108A"/>
    <w:rsid w:val="003B7F7B"/>
    <w:rsid w:val="003D0986"/>
    <w:rsid w:val="003D5161"/>
    <w:rsid w:val="003E29D7"/>
    <w:rsid w:val="003E55FE"/>
    <w:rsid w:val="003F2B6A"/>
    <w:rsid w:val="00403A6D"/>
    <w:rsid w:val="00404171"/>
    <w:rsid w:val="004054A6"/>
    <w:rsid w:val="00405D7C"/>
    <w:rsid w:val="0041296D"/>
    <w:rsid w:val="00412E6F"/>
    <w:rsid w:val="004531D0"/>
    <w:rsid w:val="0047066D"/>
    <w:rsid w:val="00474E70"/>
    <w:rsid w:val="00475206"/>
    <w:rsid w:val="00475A87"/>
    <w:rsid w:val="004768F6"/>
    <w:rsid w:val="00484C96"/>
    <w:rsid w:val="0048621B"/>
    <w:rsid w:val="0049116C"/>
    <w:rsid w:val="004A4FCA"/>
    <w:rsid w:val="004B5856"/>
    <w:rsid w:val="004C1585"/>
    <w:rsid w:val="004C49DB"/>
    <w:rsid w:val="004C4E78"/>
    <w:rsid w:val="004C4FD2"/>
    <w:rsid w:val="004D385E"/>
    <w:rsid w:val="004D4677"/>
    <w:rsid w:val="004D6053"/>
    <w:rsid w:val="004E18E6"/>
    <w:rsid w:val="004E48B4"/>
    <w:rsid w:val="004E733B"/>
    <w:rsid w:val="00502CFA"/>
    <w:rsid w:val="00506BD8"/>
    <w:rsid w:val="00512759"/>
    <w:rsid w:val="00513F11"/>
    <w:rsid w:val="00531FD3"/>
    <w:rsid w:val="00532A26"/>
    <w:rsid w:val="00533A8A"/>
    <w:rsid w:val="00551C65"/>
    <w:rsid w:val="00553133"/>
    <w:rsid w:val="005536E6"/>
    <w:rsid w:val="00566470"/>
    <w:rsid w:val="005722F8"/>
    <w:rsid w:val="00576FD6"/>
    <w:rsid w:val="00587639"/>
    <w:rsid w:val="0059583D"/>
    <w:rsid w:val="00596CF3"/>
    <w:rsid w:val="00596FB1"/>
    <w:rsid w:val="005B1F55"/>
    <w:rsid w:val="005C645A"/>
    <w:rsid w:val="005C7D4B"/>
    <w:rsid w:val="005D25C5"/>
    <w:rsid w:val="005D466B"/>
    <w:rsid w:val="005D5C29"/>
    <w:rsid w:val="00644AF6"/>
    <w:rsid w:val="00655B92"/>
    <w:rsid w:val="00667B3D"/>
    <w:rsid w:val="006812C8"/>
    <w:rsid w:val="00684D55"/>
    <w:rsid w:val="00687F99"/>
    <w:rsid w:val="00691E64"/>
    <w:rsid w:val="00692A87"/>
    <w:rsid w:val="006A1640"/>
    <w:rsid w:val="006A1AAD"/>
    <w:rsid w:val="006A5731"/>
    <w:rsid w:val="006B301E"/>
    <w:rsid w:val="006B7282"/>
    <w:rsid w:val="006C3CD1"/>
    <w:rsid w:val="006C41AF"/>
    <w:rsid w:val="006F0E59"/>
    <w:rsid w:val="0070631D"/>
    <w:rsid w:val="007241F8"/>
    <w:rsid w:val="007252E1"/>
    <w:rsid w:val="00737D99"/>
    <w:rsid w:val="00741CB9"/>
    <w:rsid w:val="007533CC"/>
    <w:rsid w:val="007607CF"/>
    <w:rsid w:val="0076392F"/>
    <w:rsid w:val="007725F3"/>
    <w:rsid w:val="007747F9"/>
    <w:rsid w:val="00776A16"/>
    <w:rsid w:val="007A1A3E"/>
    <w:rsid w:val="007A3060"/>
    <w:rsid w:val="007B5D60"/>
    <w:rsid w:val="007C4ABE"/>
    <w:rsid w:val="007C4F38"/>
    <w:rsid w:val="007D3368"/>
    <w:rsid w:val="007D49C0"/>
    <w:rsid w:val="007E0505"/>
    <w:rsid w:val="007F195E"/>
    <w:rsid w:val="007F26F8"/>
    <w:rsid w:val="007F36EE"/>
    <w:rsid w:val="007F6070"/>
    <w:rsid w:val="007F60D0"/>
    <w:rsid w:val="008027CC"/>
    <w:rsid w:val="00810A51"/>
    <w:rsid w:val="008272E1"/>
    <w:rsid w:val="008322CA"/>
    <w:rsid w:val="00846659"/>
    <w:rsid w:val="00852C01"/>
    <w:rsid w:val="00867EAB"/>
    <w:rsid w:val="00876F68"/>
    <w:rsid w:val="00877CCB"/>
    <w:rsid w:val="00880160"/>
    <w:rsid w:val="00880254"/>
    <w:rsid w:val="0088074D"/>
    <w:rsid w:val="00881840"/>
    <w:rsid w:val="008C6B97"/>
    <w:rsid w:val="008D00C7"/>
    <w:rsid w:val="008E3687"/>
    <w:rsid w:val="008F595B"/>
    <w:rsid w:val="008F756A"/>
    <w:rsid w:val="00902CF7"/>
    <w:rsid w:val="0090408A"/>
    <w:rsid w:val="00916E56"/>
    <w:rsid w:val="009223E7"/>
    <w:rsid w:val="00926FA0"/>
    <w:rsid w:val="00930606"/>
    <w:rsid w:val="0093134A"/>
    <w:rsid w:val="0093339F"/>
    <w:rsid w:val="00945D0C"/>
    <w:rsid w:val="00960A85"/>
    <w:rsid w:val="00960C56"/>
    <w:rsid w:val="009632F2"/>
    <w:rsid w:val="00971092"/>
    <w:rsid w:val="00971CCC"/>
    <w:rsid w:val="00972F5B"/>
    <w:rsid w:val="009937F8"/>
    <w:rsid w:val="009C7C93"/>
    <w:rsid w:val="009E7D87"/>
    <w:rsid w:val="009E7F80"/>
    <w:rsid w:val="00A14D95"/>
    <w:rsid w:val="00A16A82"/>
    <w:rsid w:val="00A27E0D"/>
    <w:rsid w:val="00A37F32"/>
    <w:rsid w:val="00A52D85"/>
    <w:rsid w:val="00A555E8"/>
    <w:rsid w:val="00A571FE"/>
    <w:rsid w:val="00A6100A"/>
    <w:rsid w:val="00A743FA"/>
    <w:rsid w:val="00A85796"/>
    <w:rsid w:val="00A86256"/>
    <w:rsid w:val="00A872FB"/>
    <w:rsid w:val="00A947CC"/>
    <w:rsid w:val="00A9549E"/>
    <w:rsid w:val="00AA0B98"/>
    <w:rsid w:val="00AA2DA1"/>
    <w:rsid w:val="00AB5ADD"/>
    <w:rsid w:val="00AC3D06"/>
    <w:rsid w:val="00AD47B7"/>
    <w:rsid w:val="00AF71EE"/>
    <w:rsid w:val="00B02C06"/>
    <w:rsid w:val="00B05C19"/>
    <w:rsid w:val="00B415F6"/>
    <w:rsid w:val="00B41AB3"/>
    <w:rsid w:val="00B46F39"/>
    <w:rsid w:val="00B50F34"/>
    <w:rsid w:val="00B51E69"/>
    <w:rsid w:val="00B64248"/>
    <w:rsid w:val="00B70BF1"/>
    <w:rsid w:val="00B8672E"/>
    <w:rsid w:val="00B91BD2"/>
    <w:rsid w:val="00B93590"/>
    <w:rsid w:val="00BA0931"/>
    <w:rsid w:val="00BA42E0"/>
    <w:rsid w:val="00BB1104"/>
    <w:rsid w:val="00BC0899"/>
    <w:rsid w:val="00BC1558"/>
    <w:rsid w:val="00BD1C3F"/>
    <w:rsid w:val="00BD4DF5"/>
    <w:rsid w:val="00BE1435"/>
    <w:rsid w:val="00BE234B"/>
    <w:rsid w:val="00BF33BA"/>
    <w:rsid w:val="00C07A8A"/>
    <w:rsid w:val="00C10A62"/>
    <w:rsid w:val="00C3343E"/>
    <w:rsid w:val="00C66F2D"/>
    <w:rsid w:val="00C678FF"/>
    <w:rsid w:val="00C725BC"/>
    <w:rsid w:val="00C83BBA"/>
    <w:rsid w:val="00C938E3"/>
    <w:rsid w:val="00C94FC8"/>
    <w:rsid w:val="00C97C3B"/>
    <w:rsid w:val="00CA349E"/>
    <w:rsid w:val="00CD5AC8"/>
    <w:rsid w:val="00CE0B0C"/>
    <w:rsid w:val="00CE2E33"/>
    <w:rsid w:val="00D027FA"/>
    <w:rsid w:val="00D24642"/>
    <w:rsid w:val="00D24BEB"/>
    <w:rsid w:val="00D318F8"/>
    <w:rsid w:val="00D41CA4"/>
    <w:rsid w:val="00D4281D"/>
    <w:rsid w:val="00D43B43"/>
    <w:rsid w:val="00D45C7A"/>
    <w:rsid w:val="00D566B0"/>
    <w:rsid w:val="00D606B6"/>
    <w:rsid w:val="00D650AF"/>
    <w:rsid w:val="00D67A92"/>
    <w:rsid w:val="00D77452"/>
    <w:rsid w:val="00D868BF"/>
    <w:rsid w:val="00D875B5"/>
    <w:rsid w:val="00D90891"/>
    <w:rsid w:val="00DA5D9D"/>
    <w:rsid w:val="00DB01BB"/>
    <w:rsid w:val="00DB2F52"/>
    <w:rsid w:val="00DB6C47"/>
    <w:rsid w:val="00DB7A0C"/>
    <w:rsid w:val="00DC375A"/>
    <w:rsid w:val="00DC59D0"/>
    <w:rsid w:val="00DD5184"/>
    <w:rsid w:val="00DD66A8"/>
    <w:rsid w:val="00DF52E5"/>
    <w:rsid w:val="00DF7BBB"/>
    <w:rsid w:val="00E01D6D"/>
    <w:rsid w:val="00E177A5"/>
    <w:rsid w:val="00E24383"/>
    <w:rsid w:val="00E413E4"/>
    <w:rsid w:val="00E47FE9"/>
    <w:rsid w:val="00E54734"/>
    <w:rsid w:val="00E548AA"/>
    <w:rsid w:val="00E57DED"/>
    <w:rsid w:val="00E6503A"/>
    <w:rsid w:val="00E9621B"/>
    <w:rsid w:val="00E97B6B"/>
    <w:rsid w:val="00EA29C6"/>
    <w:rsid w:val="00EA2BDF"/>
    <w:rsid w:val="00EB5A9A"/>
    <w:rsid w:val="00EC0ACC"/>
    <w:rsid w:val="00EC5EF9"/>
    <w:rsid w:val="00EF45B7"/>
    <w:rsid w:val="00F12E96"/>
    <w:rsid w:val="00F277B3"/>
    <w:rsid w:val="00F36237"/>
    <w:rsid w:val="00F524CE"/>
    <w:rsid w:val="00F53E7C"/>
    <w:rsid w:val="00F904BD"/>
    <w:rsid w:val="00F91365"/>
    <w:rsid w:val="00F97163"/>
    <w:rsid w:val="00FA3C5D"/>
    <w:rsid w:val="00FA432B"/>
    <w:rsid w:val="00FA4BF4"/>
    <w:rsid w:val="00FC16A7"/>
    <w:rsid w:val="00FD525E"/>
    <w:rsid w:val="00FE3063"/>
    <w:rsid w:val="00FF5809"/>
    <w:rsid w:val="01442EFC"/>
    <w:rsid w:val="01456C86"/>
    <w:rsid w:val="014E6D4D"/>
    <w:rsid w:val="032C2CC0"/>
    <w:rsid w:val="03B83188"/>
    <w:rsid w:val="04563971"/>
    <w:rsid w:val="051852AB"/>
    <w:rsid w:val="069A27E5"/>
    <w:rsid w:val="07484397"/>
    <w:rsid w:val="080967DE"/>
    <w:rsid w:val="09004212"/>
    <w:rsid w:val="096F3138"/>
    <w:rsid w:val="0A9512D8"/>
    <w:rsid w:val="0AA66EBD"/>
    <w:rsid w:val="0AED307C"/>
    <w:rsid w:val="0BE87651"/>
    <w:rsid w:val="0CAD0BB0"/>
    <w:rsid w:val="0E43308A"/>
    <w:rsid w:val="0EAC4800"/>
    <w:rsid w:val="0FC605C7"/>
    <w:rsid w:val="100E1F33"/>
    <w:rsid w:val="11D11507"/>
    <w:rsid w:val="12226FEF"/>
    <w:rsid w:val="122722E4"/>
    <w:rsid w:val="13537A2F"/>
    <w:rsid w:val="151D5D32"/>
    <w:rsid w:val="173D4BA4"/>
    <w:rsid w:val="1846071B"/>
    <w:rsid w:val="18BF3C55"/>
    <w:rsid w:val="18F27B86"/>
    <w:rsid w:val="1A464FC1"/>
    <w:rsid w:val="1B570174"/>
    <w:rsid w:val="1B58609D"/>
    <w:rsid w:val="1C042817"/>
    <w:rsid w:val="1CA93D01"/>
    <w:rsid w:val="1EB03541"/>
    <w:rsid w:val="1F8641AD"/>
    <w:rsid w:val="1FF664A1"/>
    <w:rsid w:val="22222FED"/>
    <w:rsid w:val="224A5927"/>
    <w:rsid w:val="22C95D83"/>
    <w:rsid w:val="26905B62"/>
    <w:rsid w:val="269E0573"/>
    <w:rsid w:val="2BFD04EC"/>
    <w:rsid w:val="2DA00804"/>
    <w:rsid w:val="2DB54587"/>
    <w:rsid w:val="2F454C54"/>
    <w:rsid w:val="315A51CF"/>
    <w:rsid w:val="315B118C"/>
    <w:rsid w:val="35325A82"/>
    <w:rsid w:val="35EC1E7D"/>
    <w:rsid w:val="3641697A"/>
    <w:rsid w:val="38817D25"/>
    <w:rsid w:val="3901285B"/>
    <w:rsid w:val="39AE1450"/>
    <w:rsid w:val="3B0127F6"/>
    <w:rsid w:val="3ED74C99"/>
    <w:rsid w:val="3F42236D"/>
    <w:rsid w:val="40CA2A7D"/>
    <w:rsid w:val="40D84D92"/>
    <w:rsid w:val="419655E4"/>
    <w:rsid w:val="42885949"/>
    <w:rsid w:val="42E67EAC"/>
    <w:rsid w:val="432602A9"/>
    <w:rsid w:val="44033289"/>
    <w:rsid w:val="445D3C9B"/>
    <w:rsid w:val="44944C85"/>
    <w:rsid w:val="459916DF"/>
    <w:rsid w:val="47CD73A6"/>
    <w:rsid w:val="4893234B"/>
    <w:rsid w:val="49640370"/>
    <w:rsid w:val="4B091BC2"/>
    <w:rsid w:val="4B737E32"/>
    <w:rsid w:val="4BB164AB"/>
    <w:rsid w:val="4D0059B8"/>
    <w:rsid w:val="4DC70053"/>
    <w:rsid w:val="4DF81BB9"/>
    <w:rsid w:val="504E4CAA"/>
    <w:rsid w:val="51271F38"/>
    <w:rsid w:val="515F06E9"/>
    <w:rsid w:val="527C1608"/>
    <w:rsid w:val="537F5CFC"/>
    <w:rsid w:val="53B14ECD"/>
    <w:rsid w:val="54701B08"/>
    <w:rsid w:val="572C094E"/>
    <w:rsid w:val="58FC14A8"/>
    <w:rsid w:val="5963340F"/>
    <w:rsid w:val="5B3A4EA2"/>
    <w:rsid w:val="5B851484"/>
    <w:rsid w:val="5C376E80"/>
    <w:rsid w:val="5D107877"/>
    <w:rsid w:val="5D6C33D6"/>
    <w:rsid w:val="5E1E45C6"/>
    <w:rsid w:val="5F014351"/>
    <w:rsid w:val="63274D56"/>
    <w:rsid w:val="63FA1568"/>
    <w:rsid w:val="64A54544"/>
    <w:rsid w:val="65515DFA"/>
    <w:rsid w:val="657D7E2A"/>
    <w:rsid w:val="66701B61"/>
    <w:rsid w:val="66F978FF"/>
    <w:rsid w:val="67696AE0"/>
    <w:rsid w:val="69C4472B"/>
    <w:rsid w:val="6A4813FA"/>
    <w:rsid w:val="6A5C3E09"/>
    <w:rsid w:val="6CE30AAF"/>
    <w:rsid w:val="6EF50552"/>
    <w:rsid w:val="6FED7D84"/>
    <w:rsid w:val="70B8259B"/>
    <w:rsid w:val="725D2CF8"/>
    <w:rsid w:val="756F2CBF"/>
    <w:rsid w:val="75DA198B"/>
    <w:rsid w:val="76572C52"/>
    <w:rsid w:val="76792D88"/>
    <w:rsid w:val="777B2FD6"/>
    <w:rsid w:val="77FA67A1"/>
    <w:rsid w:val="78AC5158"/>
    <w:rsid w:val="791452F6"/>
    <w:rsid w:val="7AAC355E"/>
    <w:rsid w:val="7AFF7592"/>
    <w:rsid w:val="7B2F31C2"/>
    <w:rsid w:val="7C5D5EB1"/>
    <w:rsid w:val="7CB347DD"/>
    <w:rsid w:val="7CDC6BC0"/>
    <w:rsid w:val="7F844E78"/>
    <w:rsid w:val="7FF508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27"/>
    <w:qFormat/>
    <w:uiPriority w:val="0"/>
    <w:pPr>
      <w:keepNext/>
      <w:keepLines/>
      <w:spacing w:line="576" w:lineRule="auto"/>
      <w:outlineLvl w:val="0"/>
    </w:pPr>
    <w:rPr>
      <w:b/>
      <w:kern w:val="44"/>
      <w:sz w:val="44"/>
    </w:rPr>
  </w:style>
  <w:style w:type="paragraph" w:styleId="4">
    <w:name w:val="heading 2"/>
    <w:basedOn w:val="1"/>
    <w:next w:val="1"/>
    <w:qFormat/>
    <w:uiPriority w:val="9"/>
    <w:pPr>
      <w:keepNext/>
      <w:keepLines/>
      <w:spacing w:before="260" w:after="260" w:line="415" w:lineRule="auto"/>
      <w:outlineLvl w:val="1"/>
    </w:pPr>
    <w:rPr>
      <w:rFonts w:ascii="Arial" w:hAnsi="Arial" w:eastAsia="黑体"/>
      <w:b/>
      <w:bCs/>
      <w:sz w:val="32"/>
      <w:szCs w:val="32"/>
    </w:rPr>
  </w:style>
  <w:style w:type="paragraph" w:styleId="2">
    <w:name w:val="heading 3"/>
    <w:basedOn w:val="1"/>
    <w:next w:val="1"/>
    <w:unhideWhenUsed/>
    <w:qFormat/>
    <w:uiPriority w:val="0"/>
    <w:pPr>
      <w:keepNext/>
      <w:keepLines/>
      <w:spacing w:line="413" w:lineRule="auto"/>
      <w:outlineLvl w:val="2"/>
    </w:pPr>
    <w:rPr>
      <w:b/>
      <w:sz w:val="32"/>
    </w:rPr>
  </w:style>
  <w:style w:type="paragraph" w:styleId="5">
    <w:name w:val="heading 4"/>
    <w:basedOn w:val="1"/>
    <w:next w:val="1"/>
    <w:unhideWhenUsed/>
    <w:qFormat/>
    <w:uiPriority w:val="0"/>
    <w:pPr>
      <w:keepNext/>
      <w:keepLines/>
      <w:spacing w:line="360" w:lineRule="auto"/>
      <w:outlineLvl w:val="3"/>
    </w:pPr>
    <w:rPr>
      <w:rFonts w:ascii="Arial" w:hAnsi="Arial"/>
      <w:b/>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adjustRightInd w:val="0"/>
      <w:ind w:firstLine="420"/>
      <w:jc w:val="left"/>
      <w:textAlignment w:val="baseline"/>
    </w:pPr>
    <w:rPr>
      <w:rFonts w:eastAsia="楷体_GB2312"/>
      <w:sz w:val="24"/>
    </w:rPr>
  </w:style>
  <w:style w:type="paragraph" w:styleId="7">
    <w:name w:val="Body Text"/>
    <w:basedOn w:val="1"/>
    <w:unhideWhenUsed/>
    <w:qFormat/>
    <w:uiPriority w:val="99"/>
    <w:pPr>
      <w:adjustRightInd w:val="0"/>
      <w:spacing w:after="60" w:line="360" w:lineRule="atLeast"/>
      <w:ind w:left="72" w:leftChars="30" w:right="30" w:rightChars="30"/>
      <w:jc w:val="center"/>
      <w:textAlignment w:val="baseline"/>
    </w:pPr>
    <w:rPr>
      <w:kern w:val="0"/>
      <w:sz w:val="20"/>
      <w:szCs w:val="20"/>
    </w:rPr>
  </w:style>
  <w:style w:type="paragraph" w:styleId="8">
    <w:name w:val="Plain Text"/>
    <w:basedOn w:val="1"/>
    <w:qFormat/>
    <w:uiPriority w:val="0"/>
    <w:rPr>
      <w:rFonts w:ascii="宋体" w:hAnsi="Courier New"/>
    </w:rPr>
  </w:style>
  <w:style w:type="paragraph" w:styleId="9">
    <w:name w:val="Body Text Indent 2"/>
    <w:basedOn w:val="1"/>
    <w:link w:val="26"/>
    <w:qFormat/>
    <w:uiPriority w:val="0"/>
    <w:pPr>
      <w:spacing w:line="400" w:lineRule="exact"/>
      <w:ind w:left="-1" w:firstLine="480" w:firstLineChars="200"/>
    </w:pPr>
    <w:rPr>
      <w:rFonts w:ascii="楷体_GB2312" w:hAnsi="Times New Roman" w:eastAsia="楷体_GB2312"/>
      <w:kern w:val="0"/>
      <w:sz w:val="24"/>
      <w:szCs w:val="24"/>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rPr>
  </w:style>
  <w:style w:type="paragraph" w:styleId="12">
    <w:name w:val="toc 1"/>
    <w:basedOn w:val="1"/>
    <w:next w:val="1"/>
    <w:qFormat/>
    <w:uiPriority w:val="0"/>
  </w:style>
  <w:style w:type="paragraph" w:styleId="13">
    <w:name w:val="Normal (Web)"/>
    <w:basedOn w:val="1"/>
    <w:qFormat/>
    <w:uiPriority w:val="0"/>
    <w:rPr>
      <w:sz w:val="24"/>
    </w:rPr>
  </w:style>
  <w:style w:type="paragraph" w:styleId="14">
    <w:name w:val="Body Text First Indent"/>
    <w:basedOn w:val="7"/>
    <w:next w:val="1"/>
    <w:qFormat/>
    <w:uiPriority w:val="0"/>
    <w:pPr>
      <w:widowControl w:val="0"/>
      <w:spacing w:after="0" w:line="312" w:lineRule="auto"/>
      <w:ind w:firstLine="420"/>
      <w:jc w:val="both"/>
    </w:pPr>
    <w:rPr>
      <w:rFonts w:ascii="Times New Roman" w:hAnsi="Times New Roman" w:eastAsia="宋体" w:cs="Times New Roman"/>
      <w:kern w:val="2"/>
      <w:sz w:val="24"/>
      <w:szCs w:val="24"/>
      <w:lang w:val="en-US" w:eastAsia="zh-CN" w:bidi="ar-SA"/>
    </w:rPr>
  </w:style>
  <w:style w:type="character" w:styleId="17">
    <w:name w:val="page number"/>
    <w:basedOn w:val="16"/>
    <w:qFormat/>
    <w:uiPriority w:val="0"/>
  </w:style>
  <w:style w:type="paragraph" w:customStyle="1" w:styleId="18">
    <w:name w:val="普通正文"/>
    <w:basedOn w:val="1"/>
    <w:qFormat/>
    <w:uiPriority w:val="0"/>
    <w:pPr>
      <w:spacing w:before="120" w:after="120" w:line="360" w:lineRule="auto"/>
      <w:ind w:firstLine="480"/>
    </w:pPr>
    <w:rPr>
      <w:sz w:val="24"/>
    </w:rPr>
  </w:style>
  <w:style w:type="paragraph" w:customStyle="1" w:styleId="19">
    <w:name w:val="正文1"/>
    <w:basedOn w:val="1"/>
    <w:next w:val="1"/>
    <w:qFormat/>
    <w:uiPriority w:val="0"/>
    <w:pPr>
      <w:spacing w:beforeLines="50" w:line="360" w:lineRule="auto"/>
      <w:ind w:firstLine="420" w:firstLineChars="200"/>
    </w:pPr>
    <w:rPr>
      <w:rFonts w:ascii="宋体" w:hAnsi="宋体"/>
      <w:iCs/>
      <w:sz w:val="24"/>
      <w:szCs w:val="21"/>
    </w:rPr>
  </w:style>
  <w:style w:type="paragraph" w:customStyle="1" w:styleId="20">
    <w:name w:val="BodyText1I"/>
    <w:basedOn w:val="1"/>
    <w:qFormat/>
    <w:uiPriority w:val="0"/>
    <w:pPr>
      <w:spacing w:line="360" w:lineRule="auto"/>
      <w:ind w:firstLine="200" w:firstLineChars="200"/>
    </w:pPr>
    <w:rPr>
      <w:rFonts w:ascii="FangSong_GB2312" w:eastAsia="FangSong_GB2312"/>
      <w:sz w:val="30"/>
      <w:szCs w:val="30"/>
    </w:rPr>
  </w:style>
  <w:style w:type="paragraph" w:customStyle="1" w:styleId="21">
    <w:name w:val="p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2">
    <w:name w:val="Default"/>
    <w:qFormat/>
    <w:uiPriority w:val="0"/>
    <w:pPr>
      <w:widowControl w:val="0"/>
      <w:autoSpaceDE w:val="0"/>
      <w:autoSpaceDN w:val="0"/>
      <w:adjustRightInd w:val="0"/>
    </w:pPr>
    <w:rPr>
      <w:rFonts w:ascii="宋体" w:hAnsi="Calibri" w:eastAsia="宋体" w:cs="Times New Roman"/>
      <w:color w:val="000000"/>
      <w:sz w:val="24"/>
      <w:szCs w:val="22"/>
      <w:lang w:val="en-US" w:eastAsia="zh-CN" w:bidi="ar-SA"/>
    </w:rPr>
  </w:style>
  <w:style w:type="paragraph" w:customStyle="1" w:styleId="23">
    <w:name w:val="_Style 6"/>
    <w:basedOn w:val="3"/>
    <w:next w:val="1"/>
    <w:qFormat/>
    <w:uiPriority w:val="0"/>
    <w:pPr>
      <w:outlineLvl w:val="9"/>
    </w:pPr>
  </w:style>
  <w:style w:type="paragraph" w:customStyle="1" w:styleId="24">
    <w:name w:val="0"/>
    <w:basedOn w:val="1"/>
    <w:qFormat/>
    <w:uiPriority w:val="0"/>
    <w:pPr>
      <w:widowControl/>
      <w:snapToGrid w:val="0"/>
    </w:pPr>
    <w:rPr>
      <w:kern w:val="0"/>
    </w:rPr>
  </w:style>
  <w:style w:type="paragraph" w:customStyle="1" w:styleId="25">
    <w:name w:val="Char Char3"/>
    <w:basedOn w:val="1"/>
    <w:qFormat/>
    <w:uiPriority w:val="0"/>
    <w:rPr>
      <w:rFonts w:ascii="Times New Roman" w:hAnsi="Times New Roman"/>
      <w:szCs w:val="21"/>
    </w:rPr>
  </w:style>
  <w:style w:type="character" w:customStyle="1" w:styleId="26">
    <w:name w:val="正文文本缩进 2 Char"/>
    <w:basedOn w:val="16"/>
    <w:link w:val="9"/>
    <w:qFormat/>
    <w:uiPriority w:val="0"/>
    <w:rPr>
      <w:rFonts w:ascii="楷体_GB2312" w:hAnsi="Times New Roman" w:eastAsia="楷体_GB2312" w:cs="Times New Roman"/>
      <w:sz w:val="24"/>
      <w:szCs w:val="24"/>
    </w:rPr>
  </w:style>
  <w:style w:type="character" w:customStyle="1" w:styleId="27">
    <w:name w:val="标题 1 Char"/>
    <w:basedOn w:val="16"/>
    <w:link w:val="3"/>
    <w:qFormat/>
    <w:uiPriority w:val="0"/>
    <w:rPr>
      <w:rFonts w:ascii="Calibri" w:hAnsi="Calibri"/>
      <w:b/>
      <w:kern w:val="44"/>
      <w:sz w:val="44"/>
      <w:szCs w:val="22"/>
    </w:rPr>
  </w:style>
  <w:style w:type="character" w:customStyle="1" w:styleId="28">
    <w:name w:val="NormalCharacter"/>
    <w:qFormat/>
    <w:uiPriority w:val="0"/>
  </w:style>
  <w:style w:type="paragraph" w:customStyle="1" w:styleId="2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84BA9B-D11B-4466-99C2-3D08C73204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68</Pages>
  <Words>34875</Words>
  <Characters>36973</Characters>
  <Lines>191</Lines>
  <Paragraphs>53</Paragraphs>
  <TotalTime>1</TotalTime>
  <ScaleCrop>false</ScaleCrop>
  <LinksUpToDate>false</LinksUpToDate>
  <CharactersWithSpaces>37370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2019-11-26T01:55:00Z</dcterms:created>
  <dc:creator>Administrator</dc:creator>
  <cp:lastModifiedBy>佛宝</cp:lastModifiedBy>
  <cp:lastPrinted>2022-11-22T02:08:00Z</cp:lastPrinted>
  <dcterms:modified xsi:type="dcterms:W3CDTF">2024-11-01T10:11:46Z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BCBFFB32D0CC4AEBACC19A3864EEC992_13</vt:lpwstr>
  </property>
</Properties>
</file>